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59"/>
        </w:tabs>
        <w:jc w:val="left"/>
        <w:rPr>
          <w:rFonts w:hint="eastAsia" w:ascii="黑体" w:hAnsi="黑体" w:eastAsia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/>
          <w:sz w:val="32"/>
          <w:szCs w:val="32"/>
        </w:rPr>
        <w:t>附件1</w:t>
      </w:r>
    </w:p>
    <w:p>
      <w:pPr>
        <w:tabs>
          <w:tab w:val="left" w:pos="459"/>
        </w:tabs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center"/>
        <w:outlineLvl w:val="0"/>
        <w:rPr>
          <w:rFonts w:hint="eastAsia" w:ascii="宋体" w:hAnsi="宋体" w:eastAsia="宋体" w:cs="宋体"/>
          <w:b w:val="0"/>
          <w:bCs/>
          <w:sz w:val="36"/>
          <w:szCs w:val="36"/>
        </w:rPr>
      </w:pPr>
      <w:r>
        <w:rPr>
          <w:rFonts w:hint="eastAsia" w:ascii="宋体" w:hAnsi="宋体" w:cs="宋体"/>
          <w:b w:val="0"/>
          <w:bCs/>
          <w:sz w:val="36"/>
          <w:szCs w:val="36"/>
          <w:lang w:val="en-US" w:eastAsia="zh-CN"/>
        </w:rPr>
        <w:t>十四冬</w:t>
      </w:r>
      <w:r>
        <w:rPr>
          <w:rFonts w:hint="eastAsia" w:ascii="宋体" w:hAnsi="宋体" w:eastAsia="宋体" w:cs="宋体"/>
          <w:b w:val="0"/>
          <w:bCs/>
          <w:sz w:val="36"/>
          <w:szCs w:val="36"/>
        </w:rPr>
        <w:t>反兴奋剂教育资格准入工作领导小组名单</w:t>
      </w:r>
    </w:p>
    <w:p>
      <w:pPr>
        <w:jc w:val="both"/>
        <w:outlineLvl w:val="0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numPr>
          <w:ilvl w:val="0"/>
          <w:numId w:val="0"/>
        </w:numPr>
        <w:jc w:val="left"/>
        <w:outlineLvl w:val="0"/>
        <w:rPr>
          <w:rFonts w:hint="eastAsia" w:ascii="仿宋_GB2312" w:eastAsia="仿宋_GB2312"/>
          <w:b/>
          <w:bCs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单位名称</w:t>
      </w:r>
      <w:r>
        <w:rPr>
          <w:rFonts w:hint="eastAsia" w:ascii="仿宋_GB2312" w:eastAsia="仿宋_GB2312"/>
          <w:sz w:val="32"/>
          <w:szCs w:val="32"/>
          <w:lang w:eastAsia="zh-CN"/>
        </w:rPr>
        <w:t>（公章）：</w:t>
      </w:r>
    </w:p>
    <w:tbl>
      <w:tblPr>
        <w:tblStyle w:val="8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4"/>
        <w:gridCol w:w="1584"/>
        <w:gridCol w:w="1584"/>
        <w:gridCol w:w="2771"/>
        <w:gridCol w:w="48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1187" w:type="pct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sz w:val="32"/>
                <w:szCs w:val="32"/>
              </w:rPr>
              <w:t>领导小组</w:t>
            </w:r>
          </w:p>
        </w:tc>
        <w:tc>
          <w:tcPr>
            <w:tcW w:w="559" w:type="pct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sz w:val="32"/>
                <w:szCs w:val="32"/>
              </w:rPr>
              <w:t>姓名</w:t>
            </w:r>
          </w:p>
        </w:tc>
        <w:tc>
          <w:tcPr>
            <w:tcW w:w="559" w:type="pct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sz w:val="32"/>
                <w:szCs w:val="32"/>
              </w:rPr>
              <w:t>职务</w:t>
            </w:r>
          </w:p>
        </w:tc>
        <w:tc>
          <w:tcPr>
            <w:tcW w:w="978" w:type="pct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sz w:val="32"/>
                <w:szCs w:val="32"/>
              </w:rPr>
              <w:t>联系电话</w:t>
            </w:r>
          </w:p>
        </w:tc>
        <w:tc>
          <w:tcPr>
            <w:tcW w:w="1715" w:type="pct"/>
            <w:noWrap w:val="0"/>
            <w:vAlign w:val="top"/>
          </w:tcPr>
          <w:p>
            <w:pPr>
              <w:jc w:val="center"/>
              <w:rPr>
                <w:rFonts w:ascii="仿宋_GB2312" w:eastAsia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sz w:val="32"/>
                <w:szCs w:val="32"/>
              </w:rPr>
              <w:t>电子邮箱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1187" w:type="pct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组长</w:t>
            </w:r>
          </w:p>
        </w:tc>
        <w:tc>
          <w:tcPr>
            <w:tcW w:w="559" w:type="pct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32"/>
                <w:szCs w:val="32"/>
                <w:lang w:eastAsia="zh-CN"/>
              </w:rPr>
            </w:pPr>
          </w:p>
        </w:tc>
        <w:tc>
          <w:tcPr>
            <w:tcW w:w="559" w:type="pct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978" w:type="pct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715" w:type="pct"/>
            <w:noWrap w:val="0"/>
            <w:vAlign w:val="top"/>
          </w:tcPr>
          <w:p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5" w:hRule="atLeast"/>
          <w:jc w:val="center"/>
        </w:trPr>
        <w:tc>
          <w:tcPr>
            <w:tcW w:w="1187" w:type="pct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联络员</w:t>
            </w:r>
          </w:p>
        </w:tc>
        <w:tc>
          <w:tcPr>
            <w:tcW w:w="559" w:type="pct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559" w:type="pct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978" w:type="pct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715" w:type="pct"/>
            <w:noWrap w:val="0"/>
            <w:vAlign w:val="top"/>
          </w:tcPr>
          <w:p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</w:tbl>
    <w:tbl>
      <w:tblPr>
        <w:tblStyle w:val="7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2"/>
        <w:gridCol w:w="707"/>
        <w:gridCol w:w="1682"/>
        <w:gridCol w:w="491"/>
        <w:gridCol w:w="1134"/>
        <w:gridCol w:w="1211"/>
        <w:gridCol w:w="840"/>
        <w:gridCol w:w="895"/>
        <w:gridCol w:w="961"/>
        <w:gridCol w:w="806"/>
        <w:gridCol w:w="1201"/>
        <w:gridCol w:w="1534"/>
        <w:gridCol w:w="1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5000" w:type="pct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  <w:lang w:val="en-US" w:eastAsia="zh-CN"/>
              </w:rPr>
              <w:t>十四冬准入专区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  <w:lang w:eastAsia="zh-CN"/>
              </w:rPr>
              <w:t>管理员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2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2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  <w:t>证件类型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  <w:t>证件号</w:t>
            </w:r>
          </w:p>
        </w:tc>
        <w:tc>
          <w:tcPr>
            <w:tcW w:w="1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  <w:t>出生日期</w:t>
            </w:r>
          </w:p>
        </w:tc>
        <w:tc>
          <w:tcPr>
            <w:tcW w:w="4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  <w:t>工作单位</w:t>
            </w:r>
          </w:p>
        </w:tc>
        <w:tc>
          <w:tcPr>
            <w:tcW w:w="2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  <w:t>职务</w:t>
            </w:r>
          </w:p>
        </w:tc>
        <w:tc>
          <w:tcPr>
            <w:tcW w:w="3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  <w:t>管理员级别</w:t>
            </w:r>
          </w:p>
        </w:tc>
        <w:tc>
          <w:tcPr>
            <w:tcW w:w="3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  <w:t>省/直辖市</w:t>
            </w:r>
          </w:p>
        </w:tc>
        <w:tc>
          <w:tcPr>
            <w:tcW w:w="2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  <w:t>市/区</w:t>
            </w:r>
          </w:p>
        </w:tc>
        <w:tc>
          <w:tcPr>
            <w:tcW w:w="4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  <w:t>手机号</w:t>
            </w:r>
          </w:p>
        </w:tc>
        <w:tc>
          <w:tcPr>
            <w:tcW w:w="5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</w:rPr>
              <w:t>邮箱</w:t>
            </w:r>
          </w:p>
        </w:tc>
        <w:tc>
          <w:tcPr>
            <w:tcW w:w="7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  <w:lang w:val="en-US" w:eastAsia="zh-CN"/>
              </w:rPr>
              <w:t>是否为新增</w:t>
            </w:r>
          </w:p>
          <w:p>
            <w:pPr>
              <w:widowControl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2"/>
                <w:lang w:val="en-US" w:eastAsia="zh-CN"/>
              </w:rPr>
              <w:t>省级管理员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color w:val="000000"/>
                <w:kern w:val="0"/>
                <w:sz w:val="16"/>
                <w:szCs w:val="16"/>
                <w:lang w:val="en-US" w:eastAsia="zh-CN"/>
              </w:rPr>
            </w:pPr>
          </w:p>
        </w:tc>
        <w:tc>
          <w:tcPr>
            <w:tcW w:w="2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color w:val="000000"/>
                <w:kern w:val="0"/>
                <w:sz w:val="16"/>
                <w:szCs w:val="16"/>
                <w:lang w:val="en-US" w:eastAsia="zh-CN"/>
              </w:rPr>
            </w:pP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color w:val="000000"/>
                <w:kern w:val="0"/>
                <w:sz w:val="16"/>
                <w:szCs w:val="16"/>
                <w:lang w:val="en-US" w:eastAsia="zh-CN"/>
              </w:rPr>
            </w:pPr>
          </w:p>
        </w:tc>
        <w:tc>
          <w:tcPr>
            <w:tcW w:w="1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color w:val="000000"/>
                <w:kern w:val="0"/>
                <w:sz w:val="16"/>
                <w:szCs w:val="16"/>
                <w:lang w:val="en-US" w:eastAsia="zh-CN"/>
              </w:rPr>
            </w:pP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color w:val="000000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16"/>
                <w:szCs w:val="16"/>
                <w:lang w:val="en-US" w:eastAsia="zh-CN"/>
              </w:rPr>
              <w:t>XXXX-XX-XX</w:t>
            </w:r>
          </w:p>
        </w:tc>
        <w:tc>
          <w:tcPr>
            <w:tcW w:w="4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color w:val="000000"/>
                <w:kern w:val="0"/>
                <w:sz w:val="16"/>
                <w:szCs w:val="16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Arial"/>
                <w:color w:val="000000"/>
                <w:kern w:val="0"/>
                <w:sz w:val="16"/>
                <w:szCs w:val="16"/>
                <w:lang w:eastAsia="zh-CN"/>
              </w:rPr>
            </w:pPr>
          </w:p>
        </w:tc>
        <w:tc>
          <w:tcPr>
            <w:tcW w:w="3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Arial"/>
                <w:color w:val="000000"/>
                <w:kern w:val="0"/>
                <w:sz w:val="16"/>
                <w:szCs w:val="16"/>
                <w:lang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16"/>
                <w:szCs w:val="16"/>
                <w:lang w:eastAsia="zh-CN"/>
              </w:rPr>
              <w:t>省级</w:t>
            </w:r>
          </w:p>
        </w:tc>
        <w:tc>
          <w:tcPr>
            <w:tcW w:w="3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color w:val="000000"/>
                <w:kern w:val="0"/>
                <w:sz w:val="16"/>
                <w:szCs w:val="16"/>
                <w:lang w:val="en-US" w:eastAsia="zh-CN"/>
              </w:rPr>
            </w:pPr>
          </w:p>
        </w:tc>
        <w:tc>
          <w:tcPr>
            <w:tcW w:w="5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Calibri"/>
                <w:color w:val="000000"/>
                <w:kern w:val="0"/>
                <w:sz w:val="16"/>
                <w:szCs w:val="16"/>
                <w:u w:val="single"/>
              </w:rPr>
            </w:pPr>
          </w:p>
        </w:tc>
        <w:tc>
          <w:tcPr>
            <w:tcW w:w="7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Calibri"/>
                <w:color w:val="000000"/>
                <w:kern w:val="0"/>
                <w:sz w:val="16"/>
                <w:szCs w:val="16"/>
                <w:u w:val="singl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是</w:t>
            </w:r>
            <w:r>
              <w:rPr>
                <w:rFonts w:hint="eastAsia" w:ascii="宋体" w:hAnsi="宋体" w:cs="Calibri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sym w:font="Wingdings" w:char="00A8"/>
            </w:r>
            <w:r>
              <w:rPr>
                <w:rFonts w:hint="eastAsia" w:ascii="宋体" w:hAnsi="宋体" w:cs="Calibri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 xml:space="preserve">   否</w:t>
            </w:r>
            <w:r>
              <w:rPr>
                <w:rFonts w:hint="eastAsia" w:ascii="宋体" w:hAnsi="宋体" w:cs="Calibri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sym w:font="Wingdings" w:char="00A8"/>
            </w:r>
          </w:p>
        </w:tc>
      </w:tr>
    </w:tbl>
    <w:p>
      <w:pPr>
        <w:widowControl/>
        <w:jc w:val="left"/>
        <w:rPr>
          <w:rFonts w:hint="default" w:ascii="宋体" w:hAnsi="宋体" w:eastAsia="宋体" w:cs="微软雅黑"/>
          <w:color w:val="000000"/>
          <w:kern w:val="0"/>
          <w:sz w:val="16"/>
          <w:szCs w:val="16"/>
          <w:lang w:val="en-US" w:eastAsia="zh-CN"/>
        </w:rPr>
      </w:pPr>
      <w:r>
        <w:rPr>
          <w:rFonts w:hint="eastAsia" w:ascii="宋体" w:hAnsi="宋体" w:eastAsia="宋体" w:cs="微软雅黑"/>
          <w:color w:val="000000"/>
          <w:kern w:val="0"/>
          <w:sz w:val="16"/>
          <w:szCs w:val="16"/>
          <w:lang w:val="en-US" w:eastAsia="zh-CN"/>
        </w:rPr>
        <w:t>备注：1.领导小组名单应至少包括组长、联络员和平台准入专区管理员信息，所填信息应完整、准确。</w:t>
      </w:r>
    </w:p>
    <w:p>
      <w:pPr>
        <w:widowControl/>
        <w:ind w:firstLine="480" w:firstLineChars="300"/>
        <w:jc w:val="left"/>
        <w:rPr>
          <w:rFonts w:hint="eastAsia" w:ascii="宋体" w:hAnsi="宋体" w:eastAsia="宋体" w:cs="微软雅黑"/>
          <w:color w:val="000000"/>
          <w:kern w:val="0"/>
          <w:sz w:val="16"/>
          <w:szCs w:val="16"/>
          <w:lang w:val="en-US" w:eastAsia="zh-CN"/>
        </w:rPr>
      </w:pPr>
      <w:r>
        <w:rPr>
          <w:rFonts w:hint="eastAsia" w:ascii="宋体" w:hAnsi="宋体" w:eastAsia="宋体" w:cs="微软雅黑"/>
          <w:color w:val="000000"/>
          <w:kern w:val="0"/>
          <w:sz w:val="16"/>
          <w:szCs w:val="16"/>
          <w:lang w:val="en-US" w:eastAsia="zh-CN"/>
        </w:rPr>
        <w:t>2.准入专区管理员负责对</w:t>
      </w:r>
      <w:r>
        <w:rPr>
          <w:rFonts w:hint="eastAsia" w:ascii="宋体" w:hAnsi="宋体" w:eastAsia="宋体" w:cs="微软雅黑"/>
          <w:color w:val="000000"/>
          <w:kern w:val="0"/>
          <w:sz w:val="16"/>
          <w:szCs w:val="16"/>
        </w:rPr>
        <w:t>参赛代表团</w:t>
      </w:r>
      <w:r>
        <w:rPr>
          <w:rFonts w:hint="eastAsia" w:ascii="宋体" w:hAnsi="宋体" w:eastAsia="宋体" w:cs="微软雅黑"/>
          <w:color w:val="000000"/>
          <w:kern w:val="0"/>
          <w:sz w:val="16"/>
          <w:szCs w:val="16"/>
          <w:lang w:val="en-US" w:eastAsia="zh-CN"/>
        </w:rPr>
        <w:t>线上</w:t>
      </w:r>
      <w:r>
        <w:rPr>
          <w:rFonts w:hint="eastAsia" w:ascii="宋体" w:hAnsi="宋体" w:eastAsia="宋体" w:cs="微软雅黑"/>
          <w:color w:val="000000"/>
          <w:kern w:val="0"/>
          <w:sz w:val="16"/>
          <w:szCs w:val="16"/>
        </w:rPr>
        <w:t>准入工作</w:t>
      </w:r>
      <w:r>
        <w:rPr>
          <w:rFonts w:hint="eastAsia" w:ascii="宋体" w:hAnsi="宋体" w:eastAsia="宋体" w:cs="微软雅黑"/>
          <w:color w:val="000000"/>
          <w:kern w:val="0"/>
          <w:sz w:val="16"/>
          <w:szCs w:val="16"/>
          <w:lang w:val="en-US" w:eastAsia="zh-CN"/>
        </w:rPr>
        <w:t>进度、考核成绩进行监控。</w:t>
      </w:r>
    </w:p>
    <w:p>
      <w:pPr>
        <w:widowControl/>
        <w:ind w:firstLine="480" w:firstLineChars="300"/>
        <w:jc w:val="left"/>
        <w:rPr>
          <w:rFonts w:hint="default" w:ascii="宋体" w:hAnsi="宋体" w:eastAsia="宋体" w:cs="微软雅黑"/>
          <w:color w:val="000000"/>
          <w:kern w:val="0"/>
          <w:sz w:val="16"/>
          <w:szCs w:val="16"/>
          <w:lang w:val="en-US" w:eastAsia="zh-CN"/>
        </w:rPr>
      </w:pPr>
    </w:p>
    <w:p>
      <w:pPr>
        <w:widowControl/>
        <w:jc w:val="left"/>
        <w:rPr>
          <w:rFonts w:hint="default" w:ascii="宋体" w:hAnsi="宋体" w:eastAsia="宋体" w:cs="微软雅黑"/>
          <w:color w:val="000000"/>
          <w:kern w:val="0"/>
          <w:sz w:val="16"/>
          <w:szCs w:val="16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0786"/>
        </w:tabs>
        <w:bidi w:val="0"/>
        <w:jc w:val="left"/>
        <w:rPr>
          <w:rFonts w:hint="eastAsia"/>
          <w:lang w:val="en-US" w:eastAsia="zh-CN"/>
        </w:rPr>
        <w:sectPr>
          <w:footerReference r:id="rId3" w:type="default"/>
          <w:pgSz w:w="16838" w:h="11906" w:orient="landscape"/>
          <w:pgMar w:top="1803" w:right="1440" w:bottom="1803" w:left="1440" w:header="851" w:footer="992" w:gutter="0"/>
          <w:pgNumType w:fmt="numberInDash"/>
          <w:cols w:space="0" w:num="1"/>
          <w:rtlGutter w:val="0"/>
          <w:docGrid w:type="lines" w:linePitch="319" w:charSpace="0"/>
        </w:sectPr>
      </w:pPr>
      <w:r>
        <w:rPr>
          <w:rFonts w:hint="eastAsia"/>
          <w:lang w:val="en-US" w:eastAsia="zh-CN"/>
        </w:rPr>
        <w:tab/>
      </w:r>
    </w:p>
    <w:p>
      <w:pPr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2</w:t>
      </w:r>
    </w:p>
    <w:p>
      <w:pPr>
        <w:rPr>
          <w:rFonts w:ascii="仿宋_GB2312" w:hAnsi="仿宋" w:eastAsia="仿宋_GB2312"/>
          <w:b/>
          <w:sz w:val="36"/>
          <w:szCs w:val="36"/>
        </w:rPr>
      </w:pPr>
    </w:p>
    <w:p>
      <w:pPr>
        <w:jc w:val="center"/>
        <w:rPr>
          <w:rFonts w:hint="eastAsia" w:ascii="宋体" w:hAnsi="宋体" w:eastAsia="宋体" w:cs="宋体"/>
          <w:b w:val="0"/>
          <w:bCs/>
          <w:sz w:val="36"/>
          <w:szCs w:val="36"/>
        </w:rPr>
      </w:pPr>
      <w:r>
        <w:rPr>
          <w:rFonts w:hint="eastAsia" w:ascii="宋体" w:hAnsi="宋体" w:cs="宋体"/>
          <w:b w:val="0"/>
          <w:bCs/>
          <w:sz w:val="36"/>
          <w:szCs w:val="36"/>
          <w:lang w:val="en-US" w:eastAsia="zh-CN"/>
        </w:rPr>
        <w:t>十四冬</w:t>
      </w:r>
      <w:r>
        <w:rPr>
          <w:rFonts w:hint="eastAsia" w:ascii="宋体" w:hAnsi="宋体" w:eastAsia="宋体" w:cs="宋体"/>
          <w:b w:val="0"/>
          <w:bCs/>
          <w:sz w:val="36"/>
          <w:szCs w:val="36"/>
        </w:rPr>
        <w:t>反兴奋剂线上教育准入系统操作指南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/>
          <w:b w:val="0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Times New Roman"/>
          <w:b w:val="0"/>
          <w:bCs/>
          <w:sz w:val="32"/>
          <w:szCs w:val="32"/>
          <w:lang w:val="en-US" w:eastAsia="zh-CN"/>
        </w:rPr>
        <w:t>十四冬</w:t>
      </w: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反兴奋剂线上教育准入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系统可以通过电脑端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val="en-US" w:eastAsia="zh-CN"/>
        </w:rPr>
        <w:t>网页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和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val="en-US" w:eastAsia="zh-CN"/>
        </w:rPr>
        <w:t>手机端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微信小程序两种方式进行登录学习。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电脑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val="en-US" w:eastAsia="zh-CN"/>
        </w:rPr>
        <w:t>端在</w:t>
      </w: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浏览器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val="en-US" w:eastAsia="zh-CN"/>
        </w:rPr>
        <w:t>输</w:t>
      </w: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入</w:t>
      </w:r>
      <w:r>
        <w:rPr>
          <w:rFonts w:ascii="仿宋_GB2312" w:hAnsi="仿宋_GB2312" w:eastAsia="仿宋_GB2312"/>
          <w:b w:val="0"/>
          <w:bCs/>
          <w:sz w:val="32"/>
          <w:szCs w:val="32"/>
        </w:rPr>
        <w:t>cleanmedal.chinada.cn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/>
          <w:b/>
          <w:bCs w:val="0"/>
          <w:sz w:val="32"/>
          <w:szCs w:val="32"/>
          <w:lang w:val="en-US" w:eastAsia="zh-CN"/>
        </w:rPr>
        <w:t>该网址仅限电脑端登录，使用手机浏览器登录可能存在软件兼容问题，导致学习页面无法跳转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），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val="en-US" w:eastAsia="zh-CN"/>
        </w:rPr>
        <w:t>或</w:t>
      </w: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手机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val="en-US" w:eastAsia="zh-CN"/>
        </w:rPr>
        <w:t>端</w:t>
      </w: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关注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中国反兴奋剂中心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微信公众号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val="en-US" w:eastAsia="zh-CN"/>
        </w:rPr>
        <w:t>扫描下方二维码可关注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val="en-US" w:eastAsia="zh-CN"/>
        </w:rPr>
        <w:t>并</w:t>
      </w: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点击“互动专区-教育准入”进入中国反兴奋剂教育平台（CADEP）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微信小程序</w:t>
      </w: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。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1"/>
        <w:gridCol w:w="288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</w:pPr>
            <w:r>
              <w:rPr>
                <w:rFonts w:ascii="仿宋_GB2312" w:hAnsi="仿宋_GB2312" w:eastAsia="仿宋_GB2312"/>
                <w:b/>
                <w:bCs/>
                <w:sz w:val="32"/>
                <w:szCs w:val="32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1" name="图片 1" descr="微信图片_202002211609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00221160955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_GB2312" w:hAnsi="仿宋_GB2312" w:eastAsia="仿宋_GB2312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3225800" cy="1751965"/>
                  <wp:effectExtent l="0" t="0" r="5080" b="63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_GB2312" w:hAnsi="仿宋_GB2312" w:eastAsia="仿宋_GB2312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1687195" cy="3502660"/>
                  <wp:effectExtent l="0" t="0" r="4445" b="2540"/>
                  <wp:docPr id="9" name="图片 3" descr="2499031e125b6eb601772b894e35a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 descr="2499031e125b6eb601772b894e35ac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4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95" cy="350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以电脑端为例，具体操作方式如下：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hAnsi="仿宋_GB2312" w:eastAsia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一、</w:t>
      </w: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电脑浏览器键入</w:t>
      </w:r>
      <w:r>
        <w:rPr>
          <w:rFonts w:ascii="仿宋_GB2312" w:hAnsi="仿宋_GB2312" w:eastAsia="仿宋_GB2312"/>
          <w:b w:val="0"/>
          <w:bCs/>
          <w:sz w:val="32"/>
          <w:szCs w:val="32"/>
        </w:rPr>
        <w:t>cleanmedal.chinada.cn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进入中国反兴奋剂教育平台（CADEP）。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/>
          <w:b w:val="0"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865" cy="2807335"/>
            <wp:effectExtent l="0" t="0" r="3175" b="1206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二、</w:t>
      </w: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新用户请点击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首页右上角人物图标进行</w:t>
      </w: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注册；已有账号人员直接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点击</w:t>
      </w: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登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val="en-US" w:eastAsia="zh-CN"/>
        </w:rPr>
        <w:t>录</w:t>
      </w: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</w:pPr>
      <w:r>
        <w:rPr>
          <w:rFonts w:ascii="仿宋_GB2312" w:hAnsi="仿宋_GB2312" w:eastAsia="仿宋_GB2312"/>
          <w:b/>
          <w:bCs/>
          <w:sz w:val="32"/>
          <w:szCs w:val="32"/>
        </w:rPr>
        <w:drawing>
          <wp:inline distT="0" distB="0" distL="114300" distR="114300">
            <wp:extent cx="5248275" cy="2078355"/>
            <wp:effectExtent l="0" t="0" r="9525" b="9525"/>
            <wp:docPr id="4" name="图片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A screenshot of a cell 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/>
          <w:b w:val="0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hAnsi="仿宋_GB2312" w:eastAsia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三、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新用户填写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信息，完成注册。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运动员和辅助人员应根据参赛项目准确选择自己的运动项目类别（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  <w:t>从列表中的冬季项目中进行选择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）。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为了确保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  <w:t>准入工作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管理员能够在后台查看到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  <w:t>相关人员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考试情况，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  <w:t>运动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级别一栏请选择“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省级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”，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  <w:t>对于前期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已完成注册的运动员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  <w:t>无须重新注册，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可在个人中心进行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  <w:t>信息更新或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调整。</w:t>
      </w:r>
    </w:p>
    <w:p>
      <w:pPr>
        <w:jc w:val="center"/>
      </w:pPr>
      <w:r>
        <w:drawing>
          <wp:inline distT="0" distB="0" distL="114300" distR="114300">
            <wp:extent cx="5264785" cy="2329180"/>
            <wp:effectExtent l="0" t="0" r="8255" b="254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/>
          <w:b/>
          <w:bCs/>
          <w:sz w:val="32"/>
          <w:szCs w:val="32"/>
        </w:rPr>
      </w:pPr>
      <w:r>
        <w:drawing>
          <wp:inline distT="0" distB="0" distL="114300" distR="114300">
            <wp:extent cx="3131185" cy="3222625"/>
            <wp:effectExtent l="0" t="0" r="8255" b="825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/>
          <w:b w:val="0"/>
          <w:bCs w:val="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/>
          <w:b w:val="0"/>
          <w:bCs w:val="0"/>
          <w:sz w:val="32"/>
          <w:szCs w:val="32"/>
          <w:highlight w:val="none"/>
          <w:lang w:eastAsia="zh-CN"/>
        </w:rPr>
        <w:t>四、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highlight w:val="none"/>
        </w:rPr>
        <w:t>点击</w:t>
      </w:r>
      <w:r>
        <w:rPr>
          <w:rFonts w:ascii="仿宋_GB2312" w:hAnsi="仿宋_GB2312" w:eastAsia="仿宋_GB2312"/>
          <w:b w:val="0"/>
          <w:bCs w:val="0"/>
          <w:sz w:val="32"/>
          <w:szCs w:val="32"/>
          <w:highlight w:val="none"/>
        </w:rPr>
        <w:t>“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highlight w:val="none"/>
          <w:lang w:val="en-US" w:eastAsia="zh-CN"/>
        </w:rPr>
        <w:t>内蒙古十四冬反兴奋剂教育准入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highlight w:val="none"/>
          <w:lang w:val="en-US" w:eastAsia="zh-CN"/>
        </w:rPr>
        <w:t>运动员或辅助人员入口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highlight w:val="none"/>
          <w:lang w:eastAsia="zh-CN"/>
        </w:rPr>
        <w:t>）</w:t>
      </w:r>
      <w:r>
        <w:rPr>
          <w:rFonts w:ascii="仿宋_GB2312" w:hAnsi="仿宋_GB2312" w:eastAsia="仿宋_GB2312"/>
          <w:b w:val="0"/>
          <w:bCs w:val="0"/>
          <w:sz w:val="32"/>
          <w:szCs w:val="32"/>
          <w:highlight w:val="none"/>
        </w:rPr>
        <w:t>”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highlight w:val="none"/>
          <w:lang w:eastAsia="zh-CN"/>
        </w:rPr>
        <w:t>。</w:t>
      </w:r>
    </w:p>
    <w:p>
      <w:pPr>
        <w:jc w:val="center"/>
        <w:rPr>
          <w:rFonts w:hint="eastAsia" w:ascii="仿宋_GB2312" w:hAnsi="仿宋_GB2312" w:eastAsia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5269230" cy="1755775"/>
            <wp:effectExtent l="0" t="0" r="3810" b="12065"/>
            <wp:docPr id="10" name="图片 10" descr="51e271497e0ac0b887a71eb81b5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1e271497e0ac0b887a71eb81b523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  <w:t>课程学习。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准入对象需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  <w:t>按要求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依次完成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  <w:t>反兴奋剂综合知识、专项知识和扩展知识三个阶段课程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学习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  <w:t>后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  <w:t>方可进行课程考试。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仿宋_GB2312" w:hAnsi="仿宋_GB2312" w:eastAsia="仿宋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default" w:ascii="仿宋_GB2312" w:hAnsi="仿宋_GB2312" w:eastAsia="仿宋_GB2312"/>
          <w:b w:val="0"/>
          <w:bCs w:val="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4319905" cy="2561590"/>
            <wp:effectExtent l="0" t="0" r="8255" b="13970"/>
            <wp:docPr id="7" name="图片 9" descr="19997c3712b89650aa79e3cc8ea0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19997c3712b89650aa79e3cc8ea0d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default" w:ascii="仿宋_GB2312" w:hAnsi="仿宋_GB2312" w:eastAsia="仿宋_GB2312"/>
          <w:b w:val="0"/>
          <w:bCs w:val="0"/>
          <w:sz w:val="32"/>
          <w:szCs w:val="32"/>
          <w:highlight w:val="green"/>
          <w:lang w:val="en-US" w:eastAsia="zh-CN"/>
        </w:rPr>
      </w:pPr>
    </w:p>
    <w:p>
      <w:pPr>
        <w:jc w:val="center"/>
        <w:rPr>
          <w:rFonts w:ascii="仿宋_GB2312" w:hAnsi="仿宋_GB2312" w:eastAsia="仿宋_GB2312"/>
          <w:b/>
          <w:bCs/>
          <w:sz w:val="32"/>
          <w:szCs w:val="32"/>
        </w:rPr>
      </w:pPr>
      <w:r>
        <w:rPr>
          <w:rFonts w:ascii="仿宋_GB2312" w:hAnsi="仿宋_GB2312" w:eastAsia="仿宋_GB2312" w:cs="Times New Roman"/>
          <w:b/>
          <w:bCs/>
          <w:kern w:val="0"/>
          <w:sz w:val="32"/>
          <w:szCs w:val="32"/>
          <w:highlight w:val="none"/>
        </w:rPr>
        <w:drawing>
          <wp:inline distT="0" distB="0" distL="114300" distR="114300">
            <wp:extent cx="4319905" cy="3747770"/>
            <wp:effectExtent l="0" t="0" r="8255" b="1270"/>
            <wp:docPr id="8" name="图片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A screenshot of a cell 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仿宋_GB2312" w:hAnsi="仿宋_GB2312" w:eastAsia="仿宋_GB2312"/>
          <w:b/>
          <w:bCs/>
          <w:sz w:val="32"/>
          <w:szCs w:val="32"/>
        </w:rPr>
      </w:pPr>
    </w:p>
    <w:p>
      <w:pPr>
        <w:ind w:firstLine="640" w:firstLineChars="200"/>
        <w:rPr>
          <w:rFonts w:ascii="仿宋_GB2312" w:hAnsi="仿宋_GB2312" w:eastAsia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  <w:t>六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  <w:t>准入考试。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highlight w:val="none"/>
          <w:lang w:val="en-US" w:eastAsia="zh-CN"/>
        </w:rPr>
        <w:t>所有</w:t>
      </w:r>
      <w:r>
        <w:rPr>
          <w:rFonts w:ascii="仿宋_GB2312" w:hAnsi="仿宋_GB2312" w:eastAsia="仿宋_GB2312"/>
          <w:b w:val="0"/>
          <w:bCs w:val="0"/>
          <w:sz w:val="32"/>
          <w:szCs w:val="32"/>
          <w:highlight w:val="none"/>
        </w:rPr>
        <w:t>课程学习完成后，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highlight w:val="none"/>
        </w:rPr>
        <w:t>点击</w:t>
      </w:r>
      <w:r>
        <w:rPr>
          <w:rFonts w:ascii="仿宋_GB2312" w:hAnsi="仿宋_GB2312" w:eastAsia="仿宋_GB2312"/>
          <w:b w:val="0"/>
          <w:bCs w:val="0"/>
          <w:sz w:val="32"/>
          <w:szCs w:val="32"/>
          <w:highlight w:val="none"/>
        </w:rPr>
        <w:t>进入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highlight w:val="none"/>
          <w:lang w:val="en-US" w:eastAsia="zh-CN"/>
        </w:rPr>
        <w:t>准入</w:t>
      </w:r>
      <w:r>
        <w:rPr>
          <w:rFonts w:ascii="仿宋_GB2312" w:hAnsi="仿宋_GB2312" w:eastAsia="仿宋_GB2312"/>
          <w:b w:val="0"/>
          <w:bCs w:val="0"/>
          <w:sz w:val="32"/>
          <w:szCs w:val="32"/>
          <w:highlight w:val="none"/>
        </w:rPr>
        <w:t>考试模块，</w:t>
      </w:r>
      <w:r>
        <w:rPr>
          <w:rFonts w:hint="eastAsia" w:ascii="仿宋_GB2312" w:hAnsi="仿宋_GB2312" w:eastAsia="仿宋_GB2312"/>
          <w:sz w:val="32"/>
          <w:szCs w:val="32"/>
          <w:highlight w:val="none"/>
        </w:rPr>
        <w:t>准入考试满分为100分，达到</w:t>
      </w:r>
      <w:r>
        <w:rPr>
          <w:rFonts w:hint="eastAsia" w:ascii="仿宋_GB2312" w:hAnsi="仿宋_GB2312" w:eastAsia="仿宋_GB2312"/>
          <w:sz w:val="32"/>
          <w:szCs w:val="32"/>
          <w:highlight w:val="none"/>
          <w:lang w:val="en-US" w:eastAsia="zh-CN"/>
        </w:rPr>
        <w:t>80</w:t>
      </w:r>
      <w:r>
        <w:rPr>
          <w:rFonts w:hint="eastAsia" w:ascii="仿宋_GB2312" w:hAnsi="仿宋_GB2312" w:eastAsia="仿宋_GB2312"/>
          <w:sz w:val="32"/>
          <w:szCs w:val="32"/>
          <w:highlight w:val="none"/>
        </w:rPr>
        <w:t>分（含）以上为合格</w:t>
      </w:r>
      <w:r>
        <w:rPr>
          <w:rFonts w:hint="eastAsia" w:ascii="仿宋_GB2312" w:hAnsi="仿宋_GB2312" w:eastAsia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/>
          <w:sz w:val="32"/>
          <w:szCs w:val="32"/>
          <w:highlight w:val="none"/>
          <w:lang w:val="en-US" w:eastAsia="zh-CN"/>
        </w:rPr>
        <w:t>每人有3次考试机会，以最高成绩为最终成绩</w:t>
      </w:r>
      <w:r>
        <w:rPr>
          <w:rFonts w:hint="eastAsia" w:ascii="仿宋_GB2312" w:hAnsi="仿宋_GB2312" w:eastAsia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/>
          <w:sz w:val="32"/>
          <w:szCs w:val="32"/>
          <w:highlight w:val="none"/>
        </w:rPr>
        <w:t>。通过课程考试后</w:t>
      </w:r>
      <w:r>
        <w:rPr>
          <w:rFonts w:hint="eastAsia" w:ascii="仿宋_GB2312" w:hAnsi="仿宋_GB2312" w:eastAsia="仿宋_GB2312"/>
          <w:sz w:val="32"/>
          <w:szCs w:val="32"/>
          <w:highlight w:val="none"/>
          <w:lang w:val="en-US" w:eastAsia="zh-CN"/>
        </w:rPr>
        <w:t>方</w:t>
      </w:r>
      <w:r>
        <w:rPr>
          <w:rFonts w:hint="eastAsia" w:ascii="仿宋_GB2312" w:hAnsi="仿宋_GB2312" w:eastAsia="仿宋_GB2312"/>
          <w:sz w:val="32"/>
          <w:szCs w:val="32"/>
          <w:highlight w:val="none"/>
        </w:rPr>
        <w:t>可获得参赛资格准入合格证书。</w:t>
      </w:r>
    </w:p>
    <w:p>
      <w:pPr>
        <w:ind w:firstLine="640" w:firstLineChars="200"/>
        <w:jc w:val="left"/>
        <w:rPr>
          <w:rFonts w:ascii="仿宋_GB2312" w:hAnsi="仿宋_GB2312" w:eastAsia="仿宋_GB2312" w:cs="Times New Roman"/>
          <w:b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  <w:t>七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  <w:t>宣誓承诺。通过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考试后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  <w:t>进行反兴奋剂工作宣誓承诺，运动员和辅助人员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须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在承诺书中填写自己的姓名，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  <w:t>完成线上宣誓承诺环节。</w:t>
      </w:r>
      <w:r>
        <w:rPr>
          <w:rFonts w:ascii="仿宋_GB2312" w:hAnsi="仿宋_GB2312" w:eastAsia="仿宋_GB2312" w:cs="Times New Roman"/>
          <w:b/>
          <w:bCs/>
          <w:kern w:val="0"/>
          <w:sz w:val="32"/>
          <w:szCs w:val="32"/>
        </w:rPr>
        <w:fldChar w:fldCharType="begin"/>
      </w:r>
      <w:r>
        <w:rPr>
          <w:rFonts w:ascii="仿宋_GB2312" w:hAnsi="仿宋_GB2312" w:eastAsia="仿宋_GB2312" w:cs="Times New Roman"/>
          <w:b/>
          <w:bCs/>
          <w:kern w:val="0"/>
          <w:sz w:val="32"/>
          <w:szCs w:val="32"/>
        </w:rPr>
        <w:instrText xml:space="preserve"> INCLUDEPICTURE "http://cleanmedal.chinada.cn/images_zcb/certificates/%E5%8F%8D%E5%85%B4%E5%A5%8B%E5%89%82%E6%95%99%E8%82%B2%E5%87%86%E5%85%A5%E5%90%88%E6%A0%BC%E8%AF%81%E4%B9%A6_%E5%91%A8%E4%B8%BA%E8%AF%9A022019180218.jpg" \* MERGEFORMATINET </w:instrText>
      </w:r>
      <w:r>
        <w:rPr>
          <w:rFonts w:ascii="仿宋_GB2312" w:hAnsi="仿宋_GB2312" w:eastAsia="仿宋_GB2312" w:cs="Times New Roman"/>
          <w:b/>
          <w:bCs/>
          <w:kern w:val="0"/>
          <w:sz w:val="32"/>
          <w:szCs w:val="32"/>
        </w:rPr>
        <w:fldChar w:fldCharType="end"/>
      </w:r>
    </w:p>
    <w:p>
      <w:pPr>
        <w:ind w:firstLine="640" w:firstLineChars="200"/>
        <w:rPr>
          <w:rFonts w:ascii="仿宋_GB2312" w:hAnsi="仿宋_GB2312" w:eastAsia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  <w:t>八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准入对象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点击网页右上角人物图标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  <w:t>-个人中心，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可查询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成绩、证书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  <w:t>以及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修改个人信息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。</w:t>
      </w:r>
    </w:p>
    <w:p>
      <w:pPr>
        <w:ind w:firstLine="640" w:firstLineChars="200"/>
        <w:rPr>
          <w:rFonts w:ascii="仿宋_GB2312" w:hAnsi="仿宋_GB2312" w:eastAsia="仿宋_GB2312"/>
          <w:b w:val="0"/>
          <w:bCs w:val="0"/>
          <w:sz w:val="32"/>
          <w:szCs w:val="32"/>
        </w:rPr>
      </w:pPr>
    </w:p>
    <w:p>
      <w:pPr>
        <w:jc w:val="both"/>
        <w:rPr>
          <w:rFonts w:ascii="仿宋_GB2312" w:hAnsi="仿宋_GB2312" w:eastAsia="仿宋_GB2312"/>
          <w:b w:val="0"/>
          <w:bCs w:val="0"/>
          <w:sz w:val="32"/>
          <w:szCs w:val="32"/>
        </w:rPr>
      </w:pPr>
      <w:r>
        <w:drawing>
          <wp:inline distT="0" distB="0" distL="114300" distR="114300">
            <wp:extent cx="5270500" cy="57150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drawing>
          <wp:inline distT="0" distB="0" distL="114300" distR="114300">
            <wp:extent cx="5267325" cy="1781175"/>
            <wp:effectExtent l="0" t="0" r="5715" b="190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keepNext w:val="0"/>
        <w:keepLines w:val="0"/>
        <w:pageBreakBefore w:val="0"/>
        <w:tabs>
          <w:tab w:val="left" w:pos="91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exact"/>
        <w:jc w:val="left"/>
        <w:textAlignment w:val="auto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ascii="仿宋_GB2312" w:hAnsi="仿宋_GB2312" w:eastAsia="仿宋_GB2312" w:cs="Times New Roman"/>
          <w:b/>
          <w:bCs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241300</wp:posOffset>
            </wp:positionV>
            <wp:extent cx="3657600" cy="2581275"/>
            <wp:effectExtent l="0" t="0" r="0" b="9525"/>
            <wp:wrapTopAndBottom/>
            <wp:docPr id="12" name="图片 2" descr="准入证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准入证书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lang w:val="en-US" w:eastAsia="zh-CN"/>
        </w:rPr>
        <w:t xml:space="preserve">    </w:t>
      </w:r>
    </w:p>
    <w:p>
      <w:pPr>
        <w:tabs>
          <w:tab w:val="left" w:pos="459"/>
        </w:tabs>
        <w:jc w:val="left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tabs>
          <w:tab w:val="left" w:pos="459"/>
        </w:tabs>
        <w:jc w:val="left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tabs>
          <w:tab w:val="left" w:pos="459"/>
        </w:tabs>
        <w:jc w:val="left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tabs>
          <w:tab w:val="left" w:pos="459"/>
        </w:tabs>
        <w:jc w:val="left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tabs>
          <w:tab w:val="left" w:pos="459"/>
        </w:tabs>
        <w:jc w:val="left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tabs>
          <w:tab w:val="left" w:pos="459"/>
        </w:tabs>
        <w:jc w:val="left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tabs>
          <w:tab w:val="left" w:pos="459"/>
        </w:tabs>
        <w:jc w:val="left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tabs>
          <w:tab w:val="left" w:pos="459"/>
        </w:tabs>
        <w:jc w:val="left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附件3</w:t>
      </w:r>
    </w:p>
    <w:p>
      <w:pPr>
        <w:tabs>
          <w:tab w:val="left" w:pos="329"/>
        </w:tabs>
        <w:snapToGrid w:val="0"/>
        <w:spacing w:line="600" w:lineRule="exac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center"/>
        <w:outlineLvl w:val="0"/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 w:val="0"/>
          <w:bCs/>
          <w:sz w:val="36"/>
          <w:szCs w:val="36"/>
          <w:lang w:val="en-US" w:eastAsia="zh-CN"/>
        </w:rPr>
        <w:t>十四冬</w:t>
      </w:r>
      <w:r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  <w:t>反兴奋剂教育参赛资格准入</w:t>
      </w:r>
    </w:p>
    <w:p>
      <w:pPr>
        <w:jc w:val="center"/>
        <w:outlineLvl w:val="0"/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  <w:t>合格人员名单</w:t>
      </w:r>
    </w:p>
    <w:p>
      <w:pPr>
        <w:jc w:val="center"/>
        <w:outlineLvl w:val="0"/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</w:pPr>
    </w:p>
    <w:p>
      <w:pPr>
        <w:jc w:val="both"/>
        <w:outlineLvl w:val="0"/>
        <w:rPr>
          <w:rFonts w:hint="eastAsia" w:ascii="仿宋_GB2312" w:hAnsi="仿宋_GB2312" w:eastAsia="仿宋_GB2312" w:cs="仿宋_GB2312"/>
          <w:b w:val="0"/>
          <w:bCs/>
          <w:sz w:val="32"/>
          <w:szCs w:val="32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单位名称（公章）：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"/>
        <w:gridCol w:w="1800"/>
        <w:gridCol w:w="960"/>
        <w:gridCol w:w="1980"/>
        <w:gridCol w:w="1725"/>
        <w:gridCol w:w="11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6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180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96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性别</w:t>
            </w:r>
          </w:p>
        </w:tc>
        <w:tc>
          <w:tcPr>
            <w:tcW w:w="198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运动项目</w:t>
            </w:r>
          </w:p>
        </w:tc>
        <w:tc>
          <w:tcPr>
            <w:tcW w:w="1725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人员类型</w:t>
            </w:r>
          </w:p>
        </w:tc>
        <w:tc>
          <w:tcPr>
            <w:tcW w:w="1115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分数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36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0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6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8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25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115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36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0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6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8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25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115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36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0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6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8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25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115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36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0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6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8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25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115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36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0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6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8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25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115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36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0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6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8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25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115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36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0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6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8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25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115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36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0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6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8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25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115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36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0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6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8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25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115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36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0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6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80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25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115" w:type="dxa"/>
            <w:noWrap w:val="0"/>
            <w:vAlign w:val="top"/>
          </w:tcPr>
          <w:p>
            <w:pPr>
              <w:jc w:val="center"/>
              <w:outlineLvl w:val="0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备注：1.人员类型包括：运动员、辅助人员。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 xml:space="preserve">      2.运动项目：与平台注册时选择的运动项目名称保持一致。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 xml:space="preserve">      3.分数：指线上教育准入考试成绩。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</w:p>
    <w:p>
      <w:pPr>
        <w:tabs>
          <w:tab w:val="left" w:pos="919"/>
        </w:tabs>
        <w:bidi w:val="0"/>
        <w:ind w:firstLine="344"/>
        <w:jc w:val="left"/>
        <w:rPr>
          <w:rFonts w:hint="eastAsia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919"/>
        </w:tabs>
        <w:bidi w:val="0"/>
        <w:ind w:firstLine="344"/>
        <w:jc w:val="left"/>
        <w:rPr>
          <w:rFonts w:hint="default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919"/>
        </w:tabs>
        <w:bidi w:val="0"/>
        <w:ind w:firstLine="344"/>
        <w:jc w:val="left"/>
        <w:rPr>
          <w:rFonts w:hint="eastAsia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both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footerReference r:id="rId4" w:type="default"/>
      <w:pgSz w:w="11906" w:h="16838"/>
      <w:pgMar w:top="1440" w:right="1803" w:bottom="1440" w:left="1803" w:header="851" w:footer="992" w:gutter="0"/>
      <w:pgNumType w:fmt="numberInDash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</w:p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8336915</wp:posOffset>
              </wp:positionH>
              <wp:positionV relativeFrom="paragraph">
                <wp:posOffset>135255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Theme="majorEastAsia" w:hAnsiTheme="majorEastAsia" w:eastAsiaTheme="majorEastAsia"/>
                              <w:sz w:val="28"/>
                              <w:szCs w:val="28"/>
                              <w:lang w:val="zh-CN"/>
                            </w:rPr>
                            <w:t xml:space="preserve"> </w:t>
                          </w:r>
                          <w:r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/>
                              <w:sz w:val="28"/>
                              <w:szCs w:val="28"/>
                              <w:lang w:val="zh-CN"/>
                            </w:rPr>
                            <w:t>4</w:t>
                          </w:r>
                          <w:r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ajorEastAsia" w:hAnsiTheme="majorEastAsia" w:eastAsiaTheme="majorEastAsia"/>
                              <w:sz w:val="28"/>
                              <w:szCs w:val="28"/>
                              <w:lang w:val="zh-CN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656.45pt;margin-top:10.65pt;height:144pt;width:144pt;mso-position-horizontal-relative:margin;mso-wrap-style:none;z-index:251660288;mso-width-relative:page;mso-height-relative:page;" filled="f" stroked="f" coordsize="21600,21600" o:gfxdata="UEsDBAoAAAAAAIdO4kAAAAAAAAAAAAAAAAAEAAAAZHJzL1BLAwQUAAAACACHTuJAbtglDNcAAAAM&#10;AQAADwAAAGRycy9kb3ducmV2LnhtbE2Py07DMBBF90j8gzVI7KidBFU0xKlERVgi0bBg6cbTJMWP&#10;yHbT8PdMV7C8M0d3zlTbxRo2Y4ijdxKylQCGrvN6dL2Ez7Z5eAIWk3JaGe9Qwg9G2Na3N5Uqtb+4&#10;D5z3qWdU4mKpJAwpTSXnsRvQqrjyEzraHX2wKlEMPddBXajcGp4LseZWjY4uDGrC3YDd9/5sJeya&#10;tg0zxmC+8K0pTu8vj/i6SHl/l4lnYAmX9AfDVZ/UoSangz87HZmhXGT5hlgJeVYAuxJrIWhykFCI&#10;TQG8rvj/J+pfUEsDBBQAAAAIAIdO4kCk+9p2MgIAAGMEAAAOAAAAZHJzL2Uyb0RvYy54bWytVM2O&#10;0zAQviPxDpbvNGkRS1U1XZWtipAqdqUFcXYdp7HkP9luk/IA8AacuHDf5+pz8DlpumjhsAcuztgz&#10;/sbfNzOZX7dakYPwQVpT0PEop0QYbktpdgX9/Gn9akpJiMyUTFkjCnoUgV4vXr6YN24mJra2qhSe&#10;AMSEWeMKWsfoZlkWeC00CyPrhIGzsl6ziK3fZaVnDdC1yiZ5fpU11pfOWy5CwOmqd9Izon8OoK0q&#10;ycXK8r0WJvaoXigWQSnU0gW66F5bVYLH26oKIhJVUDCN3YoksLdpzRZzNtt55mrJz09gz3nCE06a&#10;SYOkF6gVi4zsvfwLSkvubbBVHHGrs55IpwhYjPMn2tzXzImOC6QO7iJ6+H+w/OPhzhNZohPeUmKY&#10;RsVPP76ffj6cfn0jOINAjQszxN07RMb2nW0RPJwHHCbebeV1+oIRgR/yHi/yijYSni5NJ9NpDheH&#10;b9gAP3u87nyI74XVJBkF9ahfJys7bELsQ4eQlM3YtVSqq6EypCno1es3eXfh4gG4MsiRSPSPTVZs&#10;t+2Z2daWRxDztu+N4PhaIvmGhXjHPJoBD8a4xFsslbJIYs8WJbX1X/91nuJRI3gpadBcBTWYJUrU&#10;B4PaATAOhh+M7WCYvb6x6NYxxtDxzsQFH9VgVt7qL5ihZcoBFzMcmQoaB/Mm9g2OGeRiueyC9s7L&#10;Xd1fQOc5Fjfm3vGUJgkZ3HIfIWancRKoV+WsG3qvq9J5TlJz/7nvoh7/DY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btglDNcAAAAMAQAADwAAAAAAAAABACAAAAAiAAAAZHJzL2Rvd25yZXYueG1s&#10;UEsBAhQAFAAAAAgAh07iQKT72nYyAgAAYwQAAA4AAAAAAAAAAQAgAAAAJg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Theme="majorEastAsia" w:hAnsiTheme="majorEastAsia" w:eastAsiaTheme="majorEastAsia"/>
                        <w:sz w:val="28"/>
                        <w:szCs w:val="28"/>
                        <w:lang w:val="zh-CN"/>
                      </w:rPr>
                      <w:t xml:space="preserve"> </w:t>
                    </w:r>
                    <w:r>
                      <w:rPr>
                        <w:rFonts w:asciiTheme="minorEastAsia" w:hAnsi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hAnsiTheme="minorEastAsia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Theme="minorEastAsia" w:hAnsi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/>
                        <w:sz w:val="28"/>
                        <w:szCs w:val="28"/>
                        <w:lang w:val="zh-CN"/>
                      </w:rPr>
                      <w:t>4</w:t>
                    </w:r>
                    <w:r>
                      <w:rPr>
                        <w:rFonts w:asciiTheme="minorEastAsia" w:hAnsi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Theme="majorEastAsia" w:hAnsiTheme="majorEastAsia" w:eastAsiaTheme="majorEastAsia"/>
                        <w:sz w:val="28"/>
                        <w:szCs w:val="28"/>
                        <w:lang w:val="zh-C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wordWrap w:val="0"/>
      <w:jc w:val="right"/>
      <w:rPr>
        <w:rFonts w:ascii="宋体" w:hAnsi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4817745</wp:posOffset>
              </wp:positionH>
              <wp:positionV relativeFrom="paragraph">
                <wp:posOffset>280035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wordWrap w:val="0"/>
                            <w:jc w:val="right"/>
                          </w:pP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  <w:lang w:val="zh-CN"/>
                            </w:rPr>
                            <w:t>2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9.35pt;margin-top:22.05pt;height:144pt;width:144pt;mso-position-horizontal-relative:margin;mso-wrap-style:none;z-index:251661312;mso-width-relative:page;mso-height-relative:page;" filled="f" stroked="f" coordsize="21600,21600" o:gfxdata="UEsDBAoAAAAAAIdO4kAAAAAAAAAAAAAAAAAEAAAAZHJzL1BLAwQUAAAACACHTuJAyxKq0tgAAAAL&#10;AQAADwAAAGRycy9kb3ducmV2LnhtbE2PwU7DMAyG70i8Q2QkbizpWrapazqJiXJEYuXAMWu8ttA4&#10;VZJ15e3JTuxo+9Pv7y92sxnYhM73liQkCwEMqbG6p1bCZ109bYD5oEirwRJK+EUPu/L+rlC5thf6&#10;wOkQWhZDyOdKQhfCmHPumw6N8gs7IsXbyTqjQhxdy7VTlxhuBr4UYsWN6il+6NSI+w6bn8PZSNhX&#10;de0m9G74wrcq/X5/yfB1lvLxIRFbYAHn8A/DVT+qQxmdjvZM2rNBwvp5s46ohCxLgF0Bka3i5igh&#10;TZcJ8LLgtx3KP1BLAwQUAAAACACHTuJAvfPWhDECAABjBAAADgAAAGRycy9lMm9Eb2MueG1srVRL&#10;jhMxEN0jcQfLe9JJEKMoSmcUJgpCipiRAmLtuN1pS/7JdtIdDgA3YMWGPefKOXjuTwYNLGbBxl12&#10;lV/5varqxW2jFTkJH6Q1OZ2MxpQIw20hzSGnnz5uXs0oCZGZgilrRE7PItDb5csXi9rNxdRWVhXC&#10;E4CYMK9dTqsY3TzLAq+EZmFknTBwltZrFrH1h6zwrAa6Vtl0PL7JausL5y0XIeB03Tlpj+ifA2jL&#10;UnKxtvyohYkdqheKRVAKlXSBLtvXlqXg8b4sg4hE5RRMY7siCex9WrPlgs0PnrlK8v4J7DlPeMJJ&#10;M2mQ9Aq1ZpGRo5d/QWnJvQ22jCNuddYRaRUBi8n4iTa7ijnRcoHUwV1FD/8Pln84PXgiC3QC6m6Y&#10;RsUv379dfvy6/PxKcAaBahfmiNs5RMbmrW0QPJwHHCbeTel1+oIRgR/ynq/yiiYSni7NprPZGC4O&#10;37ABfvZ43fkQ3wmrSTJy6lG/VlZ22obYhQ4hKZuxG6lUW0NlSJ3Tm9dvxu2FqwfgyiBHItE9Nlmx&#10;2Tc9s70tziDmbdcbwfGNRPItC/GBeTQDHoxxifdYSmWRxPYWJZX1X/51nuJRI3gpqdFcOTWYJUrU&#10;e4PaATAOhh+M/WCYo76z6NYJxtDx1sQFH9Vglt7qz5ihVcoBFzMcmXIaB/Mudg2OGeRitWqDjs7L&#10;Q9VdQOc5Frdm53hKk4QMbnWMELPVOAnUqdLrht5rq9TPSWruP/dt1OO/Yfk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yxKq0tgAAAALAQAADwAAAAAAAAABACAAAAAiAAAAZHJzL2Rvd25yZXYueG1s&#10;UEsBAhQAFAAAAAgAh07iQL3z1oQxAgAAYwQAAA4AAAAAAAAAAQAgAAAAJ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wordWrap w:val="0"/>
                      <w:jc w:val="right"/>
                    </w:pP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szCs w:val="28"/>
                        <w:lang w:val="zh-CN"/>
                      </w:rPr>
                      <w:t>2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7A1DB0"/>
    <w:multiLevelType w:val="singleLevel"/>
    <w:tmpl w:val="087A1DB0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ZmNWViZGE1MmZhYzkyYTdjNjBjMGNkYzNkZmEyZTIifQ=="/>
  </w:docVars>
  <w:rsids>
    <w:rsidRoot w:val="0787652A"/>
    <w:rsid w:val="03684DBE"/>
    <w:rsid w:val="0787652A"/>
    <w:rsid w:val="07AA52BA"/>
    <w:rsid w:val="09345F13"/>
    <w:rsid w:val="0BFA738C"/>
    <w:rsid w:val="0C842999"/>
    <w:rsid w:val="11F50CA5"/>
    <w:rsid w:val="15A80752"/>
    <w:rsid w:val="17A70D81"/>
    <w:rsid w:val="231E25FC"/>
    <w:rsid w:val="2A627FD1"/>
    <w:rsid w:val="2CA85238"/>
    <w:rsid w:val="2E7C1059"/>
    <w:rsid w:val="2EE82179"/>
    <w:rsid w:val="2F11758C"/>
    <w:rsid w:val="41DD7750"/>
    <w:rsid w:val="43B74207"/>
    <w:rsid w:val="47187232"/>
    <w:rsid w:val="4E0B2A9E"/>
    <w:rsid w:val="501B32A4"/>
    <w:rsid w:val="5B1F7840"/>
    <w:rsid w:val="5B353D01"/>
    <w:rsid w:val="640E4B05"/>
    <w:rsid w:val="683A66FF"/>
    <w:rsid w:val="6AE554FF"/>
    <w:rsid w:val="6BEF5FCD"/>
    <w:rsid w:val="6DCC37B0"/>
    <w:rsid w:val="7170575C"/>
    <w:rsid w:val="72F960D7"/>
    <w:rsid w:val="74842EFD"/>
    <w:rsid w:val="7A461E2B"/>
    <w:rsid w:val="7D522AA0"/>
    <w:rsid w:val="7DA437FD"/>
    <w:rsid w:val="7DD2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unhideWhenUsed/>
    <w:qFormat/>
    <w:uiPriority w:val="99"/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2981</Words>
  <Characters>3150</Characters>
  <Lines>0</Lines>
  <Paragraphs>0</Paragraphs>
  <TotalTime>2</TotalTime>
  <ScaleCrop>false</ScaleCrop>
  <LinksUpToDate>false</LinksUpToDate>
  <CharactersWithSpaces>3259</CharactersWithSpaces>
  <Application>WPS Office_11.1.0.11215_F1E327BC-269C-435d-A152-05C5408002CA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2021-05-17T01:43:00Z</dcterms:created>
  <dc:creator>xieli</dc:creator>
  <cp:lastModifiedBy>刘祥彬</cp:lastModifiedBy>
  <cp:lastPrinted>2023-10-26T07:30:00Z</cp:lastPrinted>
  <dcterms:modified xsi:type="dcterms:W3CDTF">2023-10-27T03:15:43Z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2052-11.1.0.11215</vt:lpwstr>
  </property>
  <property fmtid="{D5CDD505-2E9C-101B-9397-08002B2CF9AE}" pid="3" name="ICV">
    <vt:lpwstr>709248B8C85249218A0A095272BE7CB4_13</vt:lpwstr>
  </property>
</Properties>
</file>