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ascii="黑体" w:hAnsi="黑体" w:eastAsia="黑体" w:cs="FangSong_GB2312"/>
          <w:color w:val="000000"/>
          <w:sz w:val="32"/>
          <w:szCs w:val="32"/>
        </w:rPr>
      </w:pPr>
      <w:bookmarkStart w:id="0" w:name="_GoBack"/>
      <w:bookmarkEnd w:id="0"/>
      <w:r>
        <w:rPr>
          <w:rFonts w:hint="eastAsia" w:ascii="黑体" w:hAnsi="黑体" w:eastAsia="黑体" w:cs="FangSong_GB2312"/>
          <w:color w:val="000000"/>
          <w:sz w:val="32"/>
          <w:szCs w:val="32"/>
        </w:rPr>
        <w:t>附件1</w:t>
      </w:r>
      <w:r>
        <w:rPr>
          <w:rFonts w:ascii="黑体" w:hAnsi="黑体" w:eastAsia="黑体" w:cs="FangSong_GB2312"/>
          <w:color w:val="000000"/>
          <w:sz w:val="32"/>
          <w:szCs w:val="32"/>
        </w:rPr>
        <w:t>0</w:t>
      </w:r>
    </w:p>
    <w:p>
      <w:pPr>
        <w:rPr>
          <w:rFonts w:ascii="黑体" w:hAnsi="黑体" w:eastAsia="黑体" w:cs="FangSong_GB2312"/>
          <w:color w:val="000000"/>
          <w:sz w:val="32"/>
          <w:szCs w:val="32"/>
        </w:rPr>
      </w:pPr>
    </w:p>
    <w:p>
      <w:pPr>
        <w:spacing w:line="560" w:lineRule="exact"/>
        <w:jc w:val="center"/>
        <w:rPr>
          <w:rFonts w:ascii="宋体" w:hAnsi="宋体" w:eastAsia="宋体"/>
          <w:sz w:val="36"/>
          <w:szCs w:val="36"/>
          <w:lang w:val="zh-CN"/>
        </w:rPr>
      </w:pPr>
      <w:r>
        <w:rPr>
          <w:rFonts w:hint="eastAsia" w:ascii="宋体" w:hAnsi="宋体" w:eastAsia="宋体"/>
          <w:sz w:val="36"/>
          <w:szCs w:val="36"/>
          <w:lang w:val="zh-CN"/>
        </w:rPr>
        <w:t>反兴奋剂情报和调查工作标准</w:t>
      </w:r>
    </w:p>
    <w:p>
      <w:pPr>
        <w:spacing w:line="560" w:lineRule="exact"/>
        <w:jc w:val="center"/>
        <w:rPr>
          <w:rFonts w:ascii="宋体" w:hAnsi="宋体" w:eastAsia="宋体"/>
          <w:sz w:val="36"/>
          <w:szCs w:val="36"/>
          <w:lang w:val="zh-CN"/>
        </w:rPr>
      </w:pPr>
    </w:p>
    <w:p>
      <w:pPr>
        <w:spacing w:line="560" w:lineRule="exact"/>
        <w:ind w:firstLine="640" w:firstLineChars="200"/>
        <w:rPr>
          <w:rFonts w:ascii="FangSong_GB2312" w:hAnsi="FangSong_GB2312" w:eastAsia="FangSong_GB2312" w:cs="FangSong_GB2312"/>
          <w:sz w:val="32"/>
          <w:szCs w:val="32"/>
          <w:lang w:val="zh-CN"/>
        </w:rPr>
      </w:pPr>
      <w:r>
        <w:rPr>
          <w:rFonts w:hint="eastAsia" w:ascii="FangSong_GB2312" w:hAnsi="FangSong_GB2312" w:eastAsia="FangSong_GB2312" w:cs="FangSong_GB2312"/>
          <w:sz w:val="32"/>
          <w:szCs w:val="32"/>
          <w:lang w:val="zh-CN"/>
        </w:rPr>
        <w:t>反兴奋剂情报和调查工作标准旨在规范综合性赛事举办期间的信息和情报收集、共享，举报受理和违规案件调查实施等内容。具体标准如下：</w:t>
      </w:r>
    </w:p>
    <w:p>
      <w:pPr>
        <w:spacing w:line="560" w:lineRule="exact"/>
        <w:ind w:firstLine="640" w:firstLineChars="200"/>
        <w:rPr>
          <w:rFonts w:ascii="FangSong_GB2312" w:hAnsi="FangSong_GB2312" w:eastAsia="FangSong_GB2312" w:cs="FangSong_GB2312"/>
          <w:sz w:val="32"/>
          <w:szCs w:val="32"/>
          <w:lang w:val="zh-CN"/>
        </w:rPr>
      </w:pPr>
      <w:r>
        <w:rPr>
          <w:rFonts w:hint="eastAsia" w:ascii="FangSong_GB2312" w:hAnsi="FangSong_GB2312" w:eastAsia="FangSong_GB2312" w:cs="FangSong_GB2312"/>
          <w:sz w:val="32"/>
          <w:szCs w:val="32"/>
          <w:lang w:val="zh-CN"/>
        </w:rPr>
        <w:t>一、依据</w:t>
      </w:r>
    </w:p>
    <w:p>
      <w:pPr>
        <w:spacing w:line="560" w:lineRule="exact"/>
        <w:ind w:firstLine="640" w:firstLineChars="200"/>
        <w:rPr>
          <w:rFonts w:ascii="FangSong_GB2312" w:hAnsi="FangSong_GB2312" w:eastAsia="FangSong_GB2312" w:cs="FangSong_GB2312"/>
          <w:sz w:val="32"/>
          <w:szCs w:val="32"/>
          <w:lang w:val="zh-CN"/>
        </w:rPr>
      </w:pPr>
      <w:r>
        <w:rPr>
          <w:rFonts w:hint="eastAsia" w:ascii="FangSong_GB2312" w:hAnsi="FangSong_GB2312" w:eastAsia="FangSong_GB2312" w:cs="FangSong_GB2312"/>
          <w:sz w:val="32"/>
          <w:szCs w:val="32"/>
          <w:lang w:val="zh-CN"/>
        </w:rPr>
        <w:t>根据《世界反兴奋剂条例》5.7条，2021版《检查和调查国际标准》第11条、第12条。</w:t>
      </w:r>
    </w:p>
    <w:p>
      <w:pPr>
        <w:spacing w:line="560" w:lineRule="exact"/>
        <w:ind w:firstLine="640" w:firstLineChars="200"/>
        <w:rPr>
          <w:rFonts w:ascii="FangSong_GB2312" w:hAnsi="FangSong_GB2312" w:eastAsia="FangSong_GB2312" w:cs="FangSong_GB2312"/>
          <w:sz w:val="32"/>
          <w:szCs w:val="32"/>
          <w:lang w:val="zh-CN"/>
        </w:rPr>
      </w:pPr>
      <w:r>
        <w:rPr>
          <w:rFonts w:hint="eastAsia" w:ascii="FangSong_GB2312" w:hAnsi="FangSong_GB2312" w:eastAsia="FangSong_GB2312" w:cs="FangSong_GB2312"/>
          <w:sz w:val="32"/>
          <w:szCs w:val="32"/>
          <w:lang w:val="zh-CN"/>
        </w:rPr>
        <w:t>二、适用范围</w:t>
      </w:r>
    </w:p>
    <w:p>
      <w:pPr>
        <w:pStyle w:val="6"/>
        <w:shd w:val="clear" w:color="auto" w:fill="FFFFFF"/>
        <w:spacing w:line="560" w:lineRule="exact"/>
        <w:ind w:firstLine="640" w:firstLineChars="200"/>
        <w:jc w:val="both"/>
        <w:rPr>
          <w:rFonts w:ascii="FangSong_GB2312" w:hAnsi="FangSong_GB2312" w:eastAsia="FangSong_GB2312" w:cs="FangSong_GB2312"/>
          <w:sz w:val="32"/>
          <w:szCs w:val="32"/>
          <w:lang w:val="zh-CN"/>
        </w:rPr>
      </w:pPr>
      <w:r>
        <w:rPr>
          <w:rFonts w:ascii="FangSong_GB2312" w:hAnsi="FangSong_GB2312" w:eastAsia="FangSong_GB2312" w:cs="FangSong_GB2312"/>
          <w:sz w:val="32"/>
          <w:szCs w:val="32"/>
          <w:lang w:val="zh-CN"/>
        </w:rPr>
        <w:t>国际组织举办的综合性赛事情报和调查工作，根据赛事组委会、有关执法部门、中国反兴奋剂中心、其他相关反兴奋剂组织和其他相关方签订的合作协议执行，包括但不限于ITA等检查机构。</w:t>
      </w:r>
    </w:p>
    <w:p>
      <w:pPr>
        <w:spacing w:line="560" w:lineRule="exact"/>
        <w:ind w:firstLine="640" w:firstLineChars="200"/>
        <w:rPr>
          <w:rFonts w:ascii="FangSong_GB2312" w:hAnsi="FangSong_GB2312" w:eastAsia="FangSong_GB2312" w:cs="FangSong_GB2312"/>
          <w:sz w:val="32"/>
          <w:szCs w:val="32"/>
          <w:lang w:val="zh-CN"/>
        </w:rPr>
      </w:pPr>
      <w:r>
        <w:rPr>
          <w:rFonts w:hint="eastAsia" w:ascii="FangSong_GB2312" w:hAnsi="FangSong_GB2312" w:eastAsia="FangSong_GB2312" w:cs="FangSong_GB2312"/>
          <w:sz w:val="32"/>
          <w:szCs w:val="32"/>
          <w:lang w:val="zh-CN"/>
        </w:rPr>
        <w:t>三、适用时间</w:t>
      </w:r>
    </w:p>
    <w:p>
      <w:pPr>
        <w:spacing w:line="560" w:lineRule="exact"/>
        <w:ind w:firstLine="640" w:firstLineChars="200"/>
        <w:rPr>
          <w:rFonts w:ascii="FangSong_GB2312" w:hAnsi="FangSong_GB2312" w:eastAsia="FangSong_GB2312" w:cs="FangSong_GB2312"/>
          <w:sz w:val="32"/>
          <w:szCs w:val="32"/>
          <w:lang w:val="zh-CN"/>
        </w:rPr>
      </w:pPr>
      <w:r>
        <w:rPr>
          <w:rFonts w:hint="eastAsia" w:ascii="FangSong_GB2312" w:hAnsi="FangSong_GB2312" w:eastAsia="FangSong_GB2312" w:cs="FangSong_GB2312"/>
          <w:sz w:val="32"/>
          <w:szCs w:val="32"/>
          <w:lang w:val="zh-CN"/>
        </w:rPr>
        <w:t>从赛事筹办到与赛事相关的所有项目比赛结束乃至在违规行为追溯时效内。</w:t>
      </w:r>
    </w:p>
    <w:p>
      <w:pPr>
        <w:spacing w:line="560" w:lineRule="exact"/>
        <w:ind w:firstLine="640" w:firstLineChars="200"/>
        <w:rPr>
          <w:rFonts w:ascii="FangSong_GB2312" w:hAnsi="FangSong_GB2312" w:eastAsia="FangSong_GB2312" w:cs="FangSong_GB2312"/>
          <w:sz w:val="32"/>
          <w:szCs w:val="32"/>
          <w:lang w:val="zh-CN"/>
        </w:rPr>
      </w:pPr>
      <w:r>
        <w:rPr>
          <w:rFonts w:hint="eastAsia" w:ascii="FangSong_GB2312" w:hAnsi="FangSong_GB2312" w:eastAsia="FangSong_GB2312" w:cs="FangSong_GB2312"/>
          <w:sz w:val="32"/>
          <w:szCs w:val="32"/>
          <w:lang w:val="zh-CN"/>
        </w:rPr>
        <w:t>四、主要内容</w:t>
      </w:r>
    </w:p>
    <w:p>
      <w:pPr>
        <w:spacing w:line="560" w:lineRule="exact"/>
        <w:ind w:firstLine="640" w:firstLineChars="200"/>
        <w:rPr>
          <w:rFonts w:ascii="FangSong_GB2312" w:hAnsi="FangSong_GB2312" w:eastAsia="FangSong_GB2312" w:cs="FangSong_GB2312"/>
          <w:sz w:val="32"/>
          <w:szCs w:val="32"/>
        </w:rPr>
      </w:pPr>
      <w:r>
        <w:rPr>
          <w:rFonts w:hint="eastAsia" w:ascii="FangSong_GB2312" w:hAnsi="FangSong_GB2312" w:eastAsia="FangSong_GB2312" w:cs="FangSong_GB2312"/>
          <w:sz w:val="32"/>
          <w:szCs w:val="32"/>
        </w:rPr>
        <w:t>（一）情报信息接收和共享</w:t>
      </w:r>
    </w:p>
    <w:p>
      <w:pPr>
        <w:spacing w:line="560" w:lineRule="exact"/>
        <w:ind w:firstLine="640" w:firstLineChars="200"/>
        <w:rPr>
          <w:rFonts w:ascii="FangSong_GB2312" w:hAnsi="FangSong_GB2312" w:eastAsia="FangSong_GB2312" w:cs="FangSong_GB2312"/>
          <w:sz w:val="32"/>
          <w:szCs w:val="32"/>
        </w:rPr>
      </w:pPr>
      <w:r>
        <w:rPr>
          <w:rFonts w:hint="eastAsia" w:ascii="FangSong_GB2312" w:hAnsi="FangSong_GB2312" w:eastAsia="FangSong_GB2312" w:cs="FangSong_GB2312"/>
          <w:sz w:val="32"/>
          <w:szCs w:val="32"/>
        </w:rPr>
        <w:t>赛事组委会应按照协议要求或检查机构要求公布的违规举报途径提前进行宣传，还应根据实际情况配合将举报海报等制式宣传品张贴于运动员酒店、餐厅、比赛场馆、训练场、更衣室等位置。</w:t>
      </w:r>
    </w:p>
    <w:p>
      <w:pPr>
        <w:spacing w:line="560" w:lineRule="exact"/>
        <w:ind w:firstLine="640" w:firstLineChars="200"/>
        <w:rPr>
          <w:rFonts w:ascii="FangSong_GB2312" w:hAnsi="FangSong_GB2312" w:eastAsia="FangSong_GB2312" w:cs="FangSong_GB2312"/>
          <w:sz w:val="32"/>
          <w:szCs w:val="32"/>
        </w:rPr>
      </w:pPr>
      <w:r>
        <w:rPr>
          <w:rFonts w:hint="eastAsia" w:ascii="FangSong_GB2312" w:hAnsi="FangSong_GB2312" w:eastAsia="FangSong_GB2312" w:cs="FangSong_GB2312"/>
          <w:sz w:val="32"/>
          <w:szCs w:val="32"/>
        </w:rPr>
        <w:t>赛事组委会、中国反兴奋剂中心在在赛事举办期间应将收到的涉及兴奋剂违规的举报信息按照协议规定实施共享，进行相应的处理。</w:t>
      </w:r>
    </w:p>
    <w:p>
      <w:pPr>
        <w:spacing w:line="560" w:lineRule="exact"/>
        <w:ind w:firstLine="640" w:firstLineChars="200"/>
        <w:rPr>
          <w:rFonts w:ascii="FangSong_GB2312" w:hAnsi="FangSong_GB2312" w:eastAsia="FangSong_GB2312" w:cs="FangSong_GB2312"/>
          <w:sz w:val="32"/>
          <w:szCs w:val="32"/>
        </w:rPr>
      </w:pPr>
      <w:r>
        <w:rPr>
          <w:rFonts w:hint="eastAsia" w:ascii="FangSong_GB2312" w:hAnsi="FangSong_GB2312" w:eastAsia="FangSong_GB2312" w:cs="FangSong_GB2312"/>
          <w:sz w:val="32"/>
          <w:szCs w:val="32"/>
        </w:rPr>
        <w:t>（二）调查</w:t>
      </w:r>
    </w:p>
    <w:p>
      <w:pPr>
        <w:spacing w:line="560" w:lineRule="exact"/>
        <w:ind w:firstLine="640" w:firstLineChars="200"/>
        <w:rPr>
          <w:rFonts w:ascii="FangSong_GB2312" w:hAnsi="FangSong_GB2312" w:eastAsia="FangSong_GB2312" w:cs="FangSong_GB2312"/>
          <w:sz w:val="32"/>
          <w:szCs w:val="32"/>
        </w:rPr>
      </w:pPr>
      <w:r>
        <w:rPr>
          <w:rFonts w:hint="eastAsia" w:ascii="FangSong_GB2312" w:hAnsi="FangSong_GB2312" w:eastAsia="FangSong_GB2312" w:cs="FangSong_GB2312"/>
          <w:sz w:val="32"/>
          <w:szCs w:val="32"/>
        </w:rPr>
        <w:t>在综合性赛事举办期间，检查机构对违规或可能存在的违规行为开展调查或者委托中国反兴奋剂中心实施调查的，赛事组委会和相关单位应予以配合。赛事组委会应提供调查所需的基本条件，包括但不限于具有良好安全性和保密性的房间、打印机、插线板、印泥、黑色签字笔等相关办公用品。</w:t>
      </w:r>
    </w:p>
    <w:p>
      <w:pPr>
        <w:spacing w:line="560" w:lineRule="exact"/>
        <w:rPr>
          <w:rFonts w:ascii="FangSong_GB2312" w:hAnsi="FangSong_GB2312" w:eastAsia="FangSong_GB2312" w:cs="FangSong_GB2312"/>
          <w:sz w:val="32"/>
          <w:szCs w:val="32"/>
        </w:rPr>
      </w:pPr>
    </w:p>
    <w:p>
      <w:pPr>
        <w:rPr>
          <w:rFonts w:ascii="FangSong_GB2312" w:hAnsi="FangSong_GB2312" w:eastAsia="FangSong_GB2312" w:cs="FangSong_GB2312"/>
          <w:color w:val="000000"/>
          <w:sz w:val="32"/>
          <w:szCs w:val="32"/>
        </w:rPr>
      </w:pPr>
    </w:p>
    <w:p>
      <w:pPr>
        <w:rPr>
          <w:rFonts w:ascii="FangSong_GB2312" w:hAnsi="FangSong_GB2312" w:eastAsia="FangSong_GB2312" w:cs="FangSong_GB2312"/>
          <w:sz w:val="32"/>
          <w:szCs w:val="32"/>
        </w:rPr>
      </w:pPr>
    </w:p>
    <w:sectPr>
      <w:footerReference r:id="rId3" w:type="default"/>
      <w:footerReference r:id="rId4" w:type="even"/>
      <w:pgSz w:w="11900" w:h="16840"/>
      <w:pgMar w:top="1440" w:right="1440" w:bottom="1440" w:left="1440" w:header="708" w:footer="708" w:gutter="0"/>
      <w:pgNumType w:fmt="numberInDash"/>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FangSong_GB2312">
    <w:altName w:val="仿宋_GB2312"/>
    <w:panose1 w:val="02010609030101010101"/>
    <w:charset w:val="86"/>
    <w:family w:val="modern"/>
    <w:pitch w:val="default"/>
    <w:sig w:usb0="00000000" w:usb1="00000000" w:usb2="00000010"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KaiTi_GB2312">
    <w:altName w:val="楷体"/>
    <w:panose1 w:val="020B0604020202020204"/>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Fonts w:ascii="FangSong_GB2312" w:hAnsi="FangSong_GB2312" w:eastAsia="FangSong_GB2312"/>
        <w:sz w:val="32"/>
        <w:szCs w:val="32"/>
      </w:rPr>
      <w:id w:val="1562059467"/>
      <w:docPartObj>
        <w:docPartGallery w:val="AutoText"/>
      </w:docPartObj>
    </w:sdtPr>
    <w:sdtEndPr>
      <w:rPr>
        <w:rStyle w:val="10"/>
        <w:rFonts w:ascii="FangSong_GB2312" w:hAnsi="FangSong_GB2312" w:eastAsia="FangSong_GB2312"/>
        <w:sz w:val="32"/>
        <w:szCs w:val="32"/>
      </w:rPr>
    </w:sdtEndPr>
    <w:sdtContent>
      <w:p>
        <w:pPr>
          <w:pStyle w:val="4"/>
          <w:framePr w:wrap="auto" w:vAnchor="text" w:hAnchor="margin" w:xAlign="right" w:y="1"/>
          <w:rPr>
            <w:rStyle w:val="10"/>
            <w:rFonts w:ascii="FangSong_GB2312" w:hAnsi="FangSong_GB2312" w:eastAsia="FangSong_GB2312"/>
            <w:sz w:val="32"/>
            <w:szCs w:val="32"/>
          </w:rPr>
        </w:pPr>
        <w:r>
          <w:rPr>
            <w:rStyle w:val="10"/>
            <w:rFonts w:ascii="FangSong_GB2312" w:hAnsi="FangSong_GB2312" w:eastAsia="FangSong_GB2312"/>
            <w:sz w:val="32"/>
            <w:szCs w:val="32"/>
          </w:rPr>
          <w:fldChar w:fldCharType="begin"/>
        </w:r>
        <w:r>
          <w:rPr>
            <w:rStyle w:val="10"/>
            <w:rFonts w:ascii="FangSong_GB2312" w:hAnsi="FangSong_GB2312" w:eastAsia="FangSong_GB2312"/>
            <w:sz w:val="32"/>
            <w:szCs w:val="32"/>
          </w:rPr>
          <w:instrText xml:space="preserve"> PAGE </w:instrText>
        </w:r>
        <w:r>
          <w:rPr>
            <w:rStyle w:val="10"/>
            <w:rFonts w:ascii="FangSong_GB2312" w:hAnsi="FangSong_GB2312" w:eastAsia="FangSong_GB2312"/>
            <w:sz w:val="32"/>
            <w:szCs w:val="32"/>
          </w:rPr>
          <w:fldChar w:fldCharType="separate"/>
        </w:r>
        <w:r>
          <w:rPr>
            <w:rStyle w:val="10"/>
            <w:rFonts w:ascii="FangSong_GB2312" w:hAnsi="FangSong_GB2312" w:eastAsia="FangSong_GB2312"/>
            <w:sz w:val="32"/>
            <w:szCs w:val="32"/>
          </w:rPr>
          <w:t>- 1 -</w:t>
        </w:r>
        <w:r>
          <w:rPr>
            <w:rStyle w:val="10"/>
            <w:rFonts w:ascii="FangSong_GB2312" w:hAnsi="FangSong_GB2312" w:eastAsia="FangSong_GB2312"/>
            <w:sz w:val="32"/>
            <w:szCs w:val="32"/>
          </w:rPr>
          <w:fldChar w:fldCharType="end"/>
        </w:r>
      </w:p>
    </w:sdtContent>
  </w:sdt>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Pr>
      <w:id w:val="725265015"/>
      <w:docPartObj>
        <w:docPartGallery w:val="AutoText"/>
      </w:docPartObj>
    </w:sdtPr>
    <w:sdtEndPr>
      <w:rPr>
        <w:rStyle w:val="10"/>
      </w:rPr>
    </w:sdtEndPr>
    <w:sdtContent>
      <w:p>
        <w:pPr>
          <w:pStyle w:val="4"/>
          <w:framePr w:wrap="auto" w:vAnchor="text" w:hAnchor="margin" w:xAlign="right" w:y="1"/>
          <w:rPr>
            <w:rStyle w:val="10"/>
          </w:rPr>
        </w:pPr>
        <w:r>
          <w:rPr>
            <w:rStyle w:val="10"/>
          </w:rPr>
          <w:fldChar w:fldCharType="begin"/>
        </w:r>
        <w:r>
          <w:rPr>
            <w:rStyle w:val="10"/>
          </w:rPr>
          <w:instrText xml:space="preserve"> PAGE </w:instrText>
        </w:r>
        <w:r>
          <w:rPr>
            <w:rStyle w:val="10"/>
          </w:rPr>
          <w:fldChar w:fldCharType="separate"/>
        </w:r>
        <w:r>
          <w:rPr>
            <w:rStyle w:val="10"/>
          </w:rPr>
          <w:t>- 1 -</w:t>
        </w:r>
        <w:r>
          <w:rPr>
            <w:rStyle w:val="10"/>
          </w:rPr>
          <w:fldChar w:fldCharType="end"/>
        </w:r>
      </w:p>
    </w:sdtContent>
  </w:sdt>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attachedTemplate r:id="rId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DAC"/>
    <w:rsid w:val="0001454E"/>
    <w:rsid w:val="0003317E"/>
    <w:rsid w:val="00036F37"/>
    <w:rsid w:val="000831BA"/>
    <w:rsid w:val="000B5627"/>
    <w:rsid w:val="000E6DAC"/>
    <w:rsid w:val="001000C7"/>
    <w:rsid w:val="00102252"/>
    <w:rsid w:val="00117E7D"/>
    <w:rsid w:val="00183C01"/>
    <w:rsid w:val="0025544B"/>
    <w:rsid w:val="00257C2C"/>
    <w:rsid w:val="00280344"/>
    <w:rsid w:val="002E0258"/>
    <w:rsid w:val="00311E77"/>
    <w:rsid w:val="00373E90"/>
    <w:rsid w:val="003D5493"/>
    <w:rsid w:val="003F7528"/>
    <w:rsid w:val="0044468B"/>
    <w:rsid w:val="0045009A"/>
    <w:rsid w:val="00476744"/>
    <w:rsid w:val="004B5162"/>
    <w:rsid w:val="004F724C"/>
    <w:rsid w:val="005338AD"/>
    <w:rsid w:val="005406CE"/>
    <w:rsid w:val="005F63E4"/>
    <w:rsid w:val="006C32E3"/>
    <w:rsid w:val="006F3AD4"/>
    <w:rsid w:val="00713E5A"/>
    <w:rsid w:val="007216E2"/>
    <w:rsid w:val="007904E0"/>
    <w:rsid w:val="007A14FF"/>
    <w:rsid w:val="008650A8"/>
    <w:rsid w:val="009148C8"/>
    <w:rsid w:val="00960F19"/>
    <w:rsid w:val="00972099"/>
    <w:rsid w:val="00AC435D"/>
    <w:rsid w:val="00AD4923"/>
    <w:rsid w:val="00B52CFF"/>
    <w:rsid w:val="00B77CAB"/>
    <w:rsid w:val="00B94824"/>
    <w:rsid w:val="00BC106F"/>
    <w:rsid w:val="00C636D7"/>
    <w:rsid w:val="00C80A35"/>
    <w:rsid w:val="00CE3CE6"/>
    <w:rsid w:val="00CE4E39"/>
    <w:rsid w:val="00CF4301"/>
    <w:rsid w:val="00D92A20"/>
    <w:rsid w:val="00E3449D"/>
    <w:rsid w:val="00E52331"/>
    <w:rsid w:val="00E60A1A"/>
    <w:rsid w:val="00E81DBE"/>
    <w:rsid w:val="00E87652"/>
    <w:rsid w:val="00E97275"/>
    <w:rsid w:val="00F0658A"/>
    <w:rsid w:val="00F25F08"/>
    <w:rsid w:val="00FA5445"/>
    <w:rsid w:val="047F2CA7"/>
    <w:rsid w:val="0DCB5F30"/>
    <w:rsid w:val="1B7A1BF2"/>
    <w:rsid w:val="31700392"/>
    <w:rsid w:val="3396611F"/>
    <w:rsid w:val="35A214C5"/>
    <w:rsid w:val="43781BDA"/>
    <w:rsid w:val="610A6236"/>
    <w:rsid w:val="643D2377"/>
    <w:rsid w:val="67AC18E0"/>
    <w:rsid w:val="6B325DD9"/>
    <w:rsid w:val="76FE3164"/>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zh-CN" w:eastAsia="zh-CN" w:bidi="ar-SA"/>
    </w:rPr>
  </w:style>
  <w:style w:type="paragraph" w:styleId="2">
    <w:name w:val="heading 1"/>
    <w:basedOn w:val="1"/>
    <w:next w:val="1"/>
    <w:link w:val="13"/>
    <w:qFormat/>
    <w:uiPriority w:val="9"/>
    <w:pPr>
      <w:spacing w:before="100" w:beforeAutospacing="1" w:after="100" w:afterAutospacing="1"/>
      <w:outlineLvl w:val="0"/>
    </w:pPr>
    <w:rPr>
      <w:rFonts w:ascii="宋体" w:hAnsi="宋体" w:cs="宋体"/>
      <w:b/>
      <w:bCs/>
      <w:kern w:val="36"/>
      <w:sz w:val="48"/>
      <w:szCs w:val="48"/>
      <w:lang w:val="en-US"/>
    </w:rPr>
  </w:style>
  <w:style w:type="paragraph" w:styleId="3">
    <w:name w:val="heading 4"/>
    <w:basedOn w:val="1"/>
    <w:next w:val="1"/>
    <w:link w:val="1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lang w:val="en-US"/>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680"/>
        <w:tab w:val="right" w:pos="9360"/>
      </w:tabs>
      <w:snapToGrid w:val="0"/>
    </w:pPr>
    <w:rPr>
      <w:sz w:val="18"/>
      <w:szCs w:val="18"/>
    </w:rPr>
  </w:style>
  <w:style w:type="paragraph" w:styleId="5">
    <w:name w:val="header"/>
    <w:basedOn w:val="1"/>
    <w:link w:val="12"/>
    <w:unhideWhenUsed/>
    <w:qFormat/>
    <w:uiPriority w:val="99"/>
    <w:pPr>
      <w:tabs>
        <w:tab w:val="center" w:pos="4680"/>
        <w:tab w:val="right" w:pos="9360"/>
      </w:tabs>
      <w:snapToGrid w:val="0"/>
      <w:jc w:val="center"/>
    </w:pPr>
    <w:rPr>
      <w:sz w:val="18"/>
      <w:szCs w:val="18"/>
    </w:rPr>
  </w:style>
  <w:style w:type="paragraph" w:styleId="6">
    <w:name w:val="HTML Preformatted"/>
    <w:basedOn w:val="1"/>
    <w:link w:val="15"/>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val="en-US"/>
    </w:rPr>
  </w:style>
  <w:style w:type="table" w:styleId="8">
    <w:name w:val="Table Grid"/>
    <w:basedOn w:val="7"/>
    <w:qFormat/>
    <w:uiPriority w:val="0"/>
    <w:pPr>
      <w:widowControl w:val="0"/>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semiHidden/>
    <w:unhideWhenUsed/>
    <w:qFormat/>
    <w:uiPriority w:val="99"/>
  </w:style>
  <w:style w:type="character" w:customStyle="1" w:styleId="11">
    <w:name w:val="Footer Char"/>
    <w:basedOn w:val="9"/>
    <w:link w:val="4"/>
    <w:qFormat/>
    <w:uiPriority w:val="99"/>
    <w:rPr>
      <w:sz w:val="18"/>
      <w:szCs w:val="18"/>
    </w:rPr>
  </w:style>
  <w:style w:type="character" w:customStyle="1" w:styleId="12">
    <w:name w:val="Header Char"/>
    <w:basedOn w:val="9"/>
    <w:link w:val="5"/>
    <w:qFormat/>
    <w:uiPriority w:val="99"/>
    <w:rPr>
      <w:sz w:val="18"/>
      <w:szCs w:val="18"/>
    </w:rPr>
  </w:style>
  <w:style w:type="character" w:customStyle="1" w:styleId="13">
    <w:name w:val="Heading 1 Char"/>
    <w:basedOn w:val="9"/>
    <w:link w:val="2"/>
    <w:qFormat/>
    <w:uiPriority w:val="9"/>
    <w:rPr>
      <w:rFonts w:ascii="宋体" w:hAnsi="宋体" w:cs="宋体"/>
      <w:b/>
      <w:bCs/>
      <w:kern w:val="36"/>
      <w:sz w:val="48"/>
      <w:szCs w:val="48"/>
      <w:lang w:val="en-US"/>
    </w:rPr>
  </w:style>
  <w:style w:type="paragraph" w:styleId="14">
    <w:name w:val="List Paragraph"/>
    <w:basedOn w:val="1"/>
    <w:unhideWhenUsed/>
    <w:qFormat/>
    <w:uiPriority w:val="99"/>
    <w:pPr>
      <w:widowControl w:val="0"/>
      <w:ind w:firstLine="420" w:firstLineChars="200"/>
      <w:jc w:val="both"/>
    </w:pPr>
    <w:rPr>
      <w:kern w:val="2"/>
      <w:sz w:val="21"/>
      <w:lang w:val="en-US"/>
    </w:rPr>
  </w:style>
  <w:style w:type="character" w:customStyle="1" w:styleId="15">
    <w:name w:val="HTML Preformatted Char"/>
    <w:basedOn w:val="9"/>
    <w:link w:val="6"/>
    <w:qFormat/>
    <w:uiPriority w:val="0"/>
    <w:rPr>
      <w:rFonts w:ascii="宋体" w:hAnsi="宋体" w:eastAsia="宋体" w:cs="Times New Roman"/>
      <w:lang w:val="en-US"/>
    </w:rPr>
  </w:style>
  <w:style w:type="character" w:customStyle="1" w:styleId="16">
    <w:name w:val="Heading 4 Char"/>
    <w:basedOn w:val="9"/>
    <w:link w:val="3"/>
    <w:semiHidden/>
    <w:qFormat/>
    <w:uiPriority w:val="9"/>
    <w:rPr>
      <w:rFonts w:asciiTheme="majorHAnsi" w:hAnsiTheme="majorHAnsi" w:eastAsiaTheme="majorEastAsia" w:cstheme="majorBidi"/>
      <w:b/>
      <w:bCs/>
      <w:sz w:val="28"/>
      <w:szCs w:val="28"/>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weichengzhou\Library\Group%20Containers\UBF8T346G9.Office\User%20Content.localized\Templates.localized\&#20869;&#31614;&#2599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内签文1.dotx</Template>
  <Pages>44</Pages>
  <Words>2304</Words>
  <Characters>13134</Characters>
  <Lines>109</Lines>
  <Paragraphs>30</Paragraphs>
  <TotalTime>45</TotalTime>
  <ScaleCrop>false</ScaleCrop>
  <LinksUpToDate>false</LinksUpToDate>
  <CharactersWithSpaces>15408</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2024-06-28T05:20:00Z</dcterms:created>
  <dc:creator>Weicheng Zhou</dc:creator>
  <cp:lastModifiedBy>刘祥彬</cp:lastModifiedBy>
  <cp:lastPrinted>2024-07-02T03:04:00Z</cp:lastPrinted>
  <dcterms:modified xsi:type="dcterms:W3CDTF">2024-07-03T06:41:19Z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D88C27D638D94E5DACE77E91BA1099D8</vt:lpwstr>
  </property>
</Properties>
</file>