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60" w:lineRule="exact"/>
        <w:jc w:val="both"/>
        <w:rPr>
          <w:rFonts w:ascii="黑体" w:hAnsi="黑体" w:eastAsia="黑体"/>
          <w:sz w:val="32"/>
          <w:szCs w:val="32"/>
        </w:rPr>
      </w:pPr>
      <w:r>
        <w:rPr>
          <w:rFonts w:hint="eastAsia" w:ascii="黑体" w:hAnsi="黑体" w:eastAsia="黑体"/>
          <w:sz w:val="32"/>
          <w:szCs w:val="32"/>
        </w:rPr>
        <w:t>附件</w:t>
      </w:r>
      <w:r>
        <w:rPr>
          <w:rFonts w:ascii="黑体" w:hAnsi="黑体" w:eastAsia="黑体"/>
          <w:sz w:val="32"/>
          <w:szCs w:val="32"/>
        </w:rPr>
        <w:t xml:space="preserve">3 </w:t>
      </w:r>
    </w:p>
    <w:p>
      <w:pPr>
        <w:spacing w:after="160" w:line="560" w:lineRule="exact"/>
        <w:contextualSpacing/>
        <w:jc w:val="center"/>
        <w:rPr>
          <w:rFonts w:ascii="宋体" w:hAnsi="宋体" w:eastAsia="宋体"/>
          <w:sz w:val="36"/>
          <w:szCs w:val="36"/>
        </w:rPr>
      </w:pPr>
      <w:r>
        <w:rPr>
          <w:rFonts w:hint="eastAsia" w:ascii="宋体" w:hAnsi="宋体" w:eastAsia="宋体"/>
          <w:sz w:val="36"/>
          <w:szCs w:val="36"/>
        </w:rPr>
        <w:t>兴奋剂检查站建设标准</w:t>
      </w:r>
    </w:p>
    <w:p>
      <w:pPr>
        <w:spacing w:after="160" w:line="560" w:lineRule="exact"/>
        <w:ind w:firstLine="640" w:firstLineChars="200"/>
        <w:contextualSpacing/>
        <w:rPr>
          <w:rFonts w:ascii="FangSong_GB2312" w:hAnsi="FangSong_GB2312" w:eastAsia="FangSong_GB2312"/>
          <w:sz w:val="32"/>
          <w:szCs w:val="32"/>
        </w:rPr>
      </w:pPr>
    </w:p>
    <w:p>
      <w:pPr>
        <w:spacing w:line="560" w:lineRule="exact"/>
        <w:ind w:firstLine="640" w:firstLineChars="200"/>
        <w:rPr>
          <w:rFonts w:ascii="FangSong_GB2312" w:hAnsi="FangSong_GB2312" w:eastAsia="FangSong_GB2312"/>
          <w:sz w:val="32"/>
          <w:szCs w:val="32"/>
        </w:rPr>
      </w:pPr>
      <w:r>
        <w:rPr>
          <w:rFonts w:hint="eastAsia" w:ascii="FangSong_GB2312" w:hAnsi="FangSong_GB2312" w:eastAsia="FangSong_GB2312"/>
          <w:sz w:val="32"/>
          <w:szCs w:val="32"/>
        </w:rPr>
        <w:t>兴奋剂检查站是实施兴奋剂检查的重要场所，在大型赛事比赛场馆内及运动员集中住宿区域设置合理、规范的兴奋剂检查站是执行赛事兴奋剂检查的基本前提和必要保障。具体兴奋剂检查站建设标准如下。</w:t>
      </w:r>
    </w:p>
    <w:p>
      <w:pPr>
        <w:spacing w:line="560" w:lineRule="exact"/>
        <w:ind w:firstLine="640" w:firstLineChars="200"/>
        <w:rPr>
          <w:rFonts w:ascii="FangSong_GB2312" w:hAnsi="FangSong_GB2312" w:eastAsia="FangSong_GB2312"/>
          <w:sz w:val="32"/>
          <w:szCs w:val="32"/>
        </w:rPr>
      </w:pPr>
      <w:r>
        <w:rPr>
          <w:rFonts w:hint="eastAsia" w:ascii="FangSong_GB2312" w:hAnsi="FangSong_GB2312" w:eastAsia="FangSong_GB2312"/>
          <w:sz w:val="32"/>
          <w:szCs w:val="32"/>
        </w:rPr>
        <w:t>一、基本原则</w:t>
      </w:r>
    </w:p>
    <w:p>
      <w:pPr>
        <w:spacing w:line="560" w:lineRule="exact"/>
        <w:ind w:firstLine="640" w:firstLineChars="200"/>
        <w:rPr>
          <w:rFonts w:ascii="FangSong_GB2312" w:hAnsi="FangSong_GB2312" w:eastAsia="FangSong_GB2312"/>
          <w:sz w:val="32"/>
          <w:szCs w:val="32"/>
        </w:rPr>
      </w:pPr>
      <w:r>
        <w:rPr>
          <w:rFonts w:hint="eastAsia" w:ascii="FangSong_GB2312" w:hAnsi="FangSong_GB2312" w:eastAsia="FangSong_GB2312"/>
          <w:sz w:val="32"/>
          <w:szCs w:val="32"/>
        </w:rPr>
        <w:t>（一）</w:t>
      </w:r>
      <w:r>
        <w:rPr>
          <w:rFonts w:ascii="FangSong_GB2312" w:hAnsi="FangSong_GB2312" w:eastAsia="FangSong_GB2312"/>
          <w:sz w:val="32"/>
          <w:szCs w:val="32"/>
        </w:rPr>
        <w:t>所有体育竞赛场馆</w:t>
      </w:r>
      <w:r>
        <w:rPr>
          <w:rFonts w:hint="eastAsia" w:ascii="FangSong_GB2312" w:hAnsi="FangSong_GB2312" w:eastAsia="FangSong_GB2312"/>
          <w:sz w:val="32"/>
          <w:szCs w:val="32"/>
        </w:rPr>
        <w:t>和</w:t>
      </w:r>
      <w:r>
        <w:rPr>
          <w:rFonts w:ascii="FangSong_GB2312" w:hAnsi="FangSong_GB2312" w:eastAsia="FangSong_GB2312"/>
          <w:sz w:val="32"/>
          <w:szCs w:val="32"/>
        </w:rPr>
        <w:t>运动员集中住宿区域（如运动员村）均应设立兴奋剂检查站</w:t>
      </w:r>
      <w:r>
        <w:rPr>
          <w:rFonts w:hint="eastAsia" w:ascii="FangSong_GB2312" w:hAnsi="FangSong_GB2312" w:eastAsia="FangSong_GB2312"/>
          <w:sz w:val="32"/>
          <w:szCs w:val="32"/>
        </w:rPr>
        <w:t>。</w:t>
      </w:r>
    </w:p>
    <w:p>
      <w:pPr>
        <w:spacing w:line="560" w:lineRule="exact"/>
        <w:ind w:firstLine="640" w:firstLineChars="200"/>
        <w:rPr>
          <w:rFonts w:ascii="FangSong_GB2312" w:hAnsi="FangSong_GB2312" w:eastAsia="FangSong_GB2312"/>
          <w:sz w:val="32"/>
          <w:szCs w:val="32"/>
        </w:rPr>
      </w:pPr>
      <w:r>
        <w:rPr>
          <w:rFonts w:hint="eastAsia" w:ascii="FangSong_GB2312" w:hAnsi="FangSong_GB2312" w:eastAsia="FangSong_GB2312"/>
          <w:sz w:val="32"/>
          <w:szCs w:val="32"/>
        </w:rPr>
        <w:t>（二）</w:t>
      </w:r>
      <w:r>
        <w:rPr>
          <w:rFonts w:ascii="FangSong_GB2312" w:hAnsi="FangSong_GB2312" w:eastAsia="FangSong_GB2312"/>
          <w:sz w:val="32"/>
          <w:szCs w:val="32"/>
        </w:rPr>
        <w:t>兴奋剂检查站</w:t>
      </w:r>
      <w:r>
        <w:rPr>
          <w:rFonts w:hint="eastAsia" w:ascii="FangSong_GB2312" w:hAnsi="FangSong_GB2312" w:eastAsia="FangSong_GB2312"/>
          <w:sz w:val="32"/>
          <w:szCs w:val="32"/>
        </w:rPr>
        <w:t>应为独立空间，充分</w:t>
      </w:r>
      <w:r>
        <w:rPr>
          <w:rFonts w:ascii="FangSong_GB2312" w:hAnsi="FangSong_GB2312" w:eastAsia="FangSong_GB2312"/>
          <w:sz w:val="32"/>
          <w:szCs w:val="32"/>
        </w:rPr>
        <w:t>保护运动员的安全</w:t>
      </w:r>
      <w:r>
        <w:rPr>
          <w:rFonts w:hint="eastAsia" w:ascii="FangSong_GB2312" w:hAnsi="FangSong_GB2312" w:eastAsia="FangSong_GB2312"/>
          <w:sz w:val="32"/>
          <w:szCs w:val="32"/>
        </w:rPr>
        <w:t>和</w:t>
      </w:r>
      <w:r>
        <w:rPr>
          <w:rFonts w:ascii="FangSong_GB2312" w:hAnsi="FangSong_GB2312" w:eastAsia="FangSong_GB2312"/>
          <w:sz w:val="32"/>
          <w:szCs w:val="32"/>
        </w:rPr>
        <w:t>隐私</w:t>
      </w:r>
      <w:r>
        <w:rPr>
          <w:rFonts w:hint="eastAsia" w:ascii="FangSong_GB2312" w:hAnsi="FangSong_GB2312" w:eastAsia="FangSong_GB2312"/>
          <w:sz w:val="32"/>
          <w:szCs w:val="32"/>
        </w:rPr>
        <w:t>，四周外墙全部封闭至房顶。</w:t>
      </w:r>
    </w:p>
    <w:p>
      <w:pPr>
        <w:spacing w:line="560" w:lineRule="exact"/>
        <w:ind w:firstLine="640" w:firstLineChars="200"/>
        <w:rPr>
          <w:rFonts w:ascii="FangSong_GB2312" w:hAnsi="FangSong_GB2312" w:eastAsia="FangSong_GB2312"/>
          <w:sz w:val="32"/>
          <w:szCs w:val="32"/>
        </w:rPr>
      </w:pPr>
      <w:r>
        <w:rPr>
          <w:rFonts w:hint="eastAsia" w:ascii="FangSong_GB2312" w:hAnsi="FangSong_GB2312" w:eastAsia="FangSong_GB2312"/>
          <w:sz w:val="32"/>
          <w:szCs w:val="32"/>
        </w:rPr>
        <w:t>（三）赛时</w:t>
      </w:r>
      <w:r>
        <w:rPr>
          <w:rFonts w:ascii="FangSong_GB2312" w:hAnsi="FangSong_GB2312" w:eastAsia="FangSong_GB2312"/>
          <w:sz w:val="32"/>
          <w:szCs w:val="32"/>
        </w:rPr>
        <w:t>期间</w:t>
      </w:r>
      <w:r>
        <w:rPr>
          <w:rFonts w:hint="eastAsia" w:ascii="FangSong_GB2312" w:hAnsi="FangSong_GB2312" w:eastAsia="FangSong_GB2312"/>
          <w:sz w:val="32"/>
          <w:szCs w:val="32"/>
        </w:rPr>
        <w:t>，</w:t>
      </w:r>
      <w:r>
        <w:rPr>
          <w:rFonts w:ascii="FangSong_GB2312" w:hAnsi="FangSong_GB2312" w:eastAsia="FangSong_GB2312"/>
          <w:sz w:val="32"/>
          <w:szCs w:val="32"/>
        </w:rPr>
        <w:t>兴奋剂检查站</w:t>
      </w:r>
      <w:r>
        <w:rPr>
          <w:rFonts w:hint="eastAsia" w:ascii="FangSong_GB2312" w:hAnsi="FangSong_GB2312" w:eastAsia="FangSong_GB2312"/>
          <w:sz w:val="32"/>
          <w:szCs w:val="32"/>
        </w:rPr>
        <w:t>所在</w:t>
      </w:r>
      <w:r>
        <w:rPr>
          <w:rFonts w:ascii="FangSong_GB2312" w:hAnsi="FangSong_GB2312" w:eastAsia="FangSong_GB2312"/>
          <w:sz w:val="32"/>
          <w:szCs w:val="32"/>
        </w:rPr>
        <w:t>房间</w:t>
      </w:r>
      <w:r>
        <w:rPr>
          <w:rFonts w:hint="eastAsia" w:ascii="FangSong_GB2312" w:hAnsi="FangSong_GB2312" w:eastAsia="FangSong_GB2312"/>
          <w:sz w:val="32"/>
          <w:szCs w:val="32"/>
        </w:rPr>
        <w:t>应仅</w:t>
      </w:r>
      <w:r>
        <w:rPr>
          <w:rFonts w:ascii="FangSong_GB2312" w:hAnsi="FangSong_GB2312" w:eastAsia="FangSong_GB2312"/>
          <w:sz w:val="32"/>
          <w:szCs w:val="32"/>
        </w:rPr>
        <w:t>用于兴奋剂检查。</w:t>
      </w:r>
    </w:p>
    <w:p>
      <w:pPr>
        <w:spacing w:line="560" w:lineRule="exact"/>
        <w:ind w:firstLine="640" w:firstLineChars="200"/>
        <w:rPr>
          <w:rFonts w:ascii="FangSong_GB2312" w:hAnsi="FangSong_GB2312" w:eastAsia="FangSong_GB2312"/>
          <w:sz w:val="32"/>
          <w:szCs w:val="32"/>
        </w:rPr>
      </w:pPr>
      <w:r>
        <w:rPr>
          <w:rFonts w:hint="eastAsia" w:ascii="FangSong_GB2312" w:hAnsi="FangSong_GB2312" w:eastAsia="FangSong_GB2312"/>
          <w:sz w:val="32"/>
          <w:szCs w:val="32"/>
        </w:rPr>
        <w:t>二、建设要求</w:t>
      </w:r>
    </w:p>
    <w:p>
      <w:pPr>
        <w:spacing w:line="560" w:lineRule="exact"/>
        <w:ind w:firstLine="640" w:firstLineChars="200"/>
        <w:rPr>
          <w:rFonts w:ascii="FangSong_GB2312" w:hAnsi="FangSong_GB2312" w:eastAsia="FangSong_GB2312"/>
          <w:sz w:val="32"/>
          <w:szCs w:val="32"/>
        </w:rPr>
      </w:pPr>
      <w:r>
        <w:rPr>
          <w:rFonts w:ascii="FangSong_GB2312" w:hAnsi="FangSong_GB2312" w:eastAsia="FangSong_GB2312"/>
          <w:sz w:val="32"/>
          <w:szCs w:val="32"/>
        </w:rPr>
        <w:t>（</w:t>
      </w:r>
      <w:r>
        <w:rPr>
          <w:rFonts w:hint="eastAsia" w:ascii="FangSong_GB2312" w:hAnsi="FangSong_GB2312" w:eastAsia="FangSong_GB2312"/>
          <w:sz w:val="32"/>
          <w:szCs w:val="32"/>
        </w:rPr>
        <w:t>一</w:t>
      </w:r>
      <w:r>
        <w:rPr>
          <w:rFonts w:ascii="FangSong_GB2312" w:hAnsi="FangSong_GB2312" w:eastAsia="FangSong_GB2312"/>
          <w:sz w:val="32"/>
          <w:szCs w:val="32"/>
        </w:rPr>
        <w:t>）</w:t>
      </w:r>
      <w:r>
        <w:rPr>
          <w:rFonts w:hint="eastAsia" w:ascii="FangSong_GB2312" w:hAnsi="FangSong_GB2312" w:eastAsia="FangSong_GB2312"/>
          <w:sz w:val="32"/>
          <w:szCs w:val="32"/>
        </w:rPr>
        <w:t>位置</w:t>
      </w:r>
    </w:p>
    <w:p>
      <w:pPr>
        <w:spacing w:line="560" w:lineRule="exact"/>
        <w:ind w:firstLine="640" w:firstLineChars="200"/>
        <w:rPr>
          <w:rFonts w:ascii="FangSong_GB2312" w:hAnsi="FangSong_GB2312" w:eastAsia="FangSong_GB2312"/>
          <w:sz w:val="32"/>
          <w:szCs w:val="32"/>
        </w:rPr>
      </w:pPr>
      <w:r>
        <w:rPr>
          <w:rFonts w:hint="eastAsia" w:ascii="FangSong_GB2312" w:hAnsi="FangSong_GB2312" w:eastAsia="FangSong_GB2312"/>
          <w:sz w:val="32"/>
          <w:szCs w:val="32"/>
        </w:rPr>
        <w:t>1</w:t>
      </w:r>
      <w:r>
        <w:rPr>
          <w:rFonts w:ascii="FangSong_GB2312" w:hAnsi="FangSong_GB2312" w:eastAsia="FangSong_GB2312"/>
          <w:sz w:val="32"/>
          <w:szCs w:val="32"/>
        </w:rPr>
        <w:t>.</w:t>
      </w:r>
      <w:r>
        <w:rPr>
          <w:rFonts w:hint="eastAsia" w:ascii="FangSong_GB2312" w:hAnsi="FangSong_GB2312" w:eastAsia="FangSong_GB2312"/>
          <w:sz w:val="32"/>
          <w:szCs w:val="32"/>
        </w:rPr>
        <w:t>场馆兴奋剂检查站应当靠近赛后控制区、医疗区、运动员更衣区等。</w:t>
      </w:r>
    </w:p>
    <w:p>
      <w:pPr>
        <w:spacing w:line="560" w:lineRule="exact"/>
        <w:ind w:firstLine="640" w:firstLineChars="200"/>
        <w:rPr>
          <w:rFonts w:ascii="FangSong_GB2312" w:hAnsi="FangSong_GB2312" w:eastAsia="FangSong_GB2312"/>
          <w:sz w:val="32"/>
          <w:szCs w:val="32"/>
        </w:rPr>
      </w:pPr>
      <w:r>
        <w:rPr>
          <w:rFonts w:hint="eastAsia" w:ascii="FangSong_GB2312" w:hAnsi="FangSong_GB2312" w:eastAsia="FangSong_GB2312"/>
          <w:sz w:val="32"/>
          <w:szCs w:val="32"/>
        </w:rPr>
        <w:t>2</w:t>
      </w:r>
      <w:r>
        <w:rPr>
          <w:rFonts w:ascii="FangSong_GB2312" w:hAnsi="FangSong_GB2312" w:eastAsia="FangSong_GB2312"/>
          <w:sz w:val="32"/>
          <w:szCs w:val="32"/>
        </w:rPr>
        <w:t>.兴奋剂检查站的位置应当准确标注于竞赛场馆及运动员集中住宿区域的平面图中，竞赛场馆及运动员集中住宿区域内应设置兴奋剂检查站位置指引标识。</w:t>
      </w:r>
    </w:p>
    <w:p>
      <w:pPr>
        <w:spacing w:line="560" w:lineRule="exact"/>
        <w:ind w:firstLine="640" w:firstLineChars="200"/>
        <w:rPr>
          <w:rFonts w:ascii="FangSong_GB2312" w:hAnsi="FangSong_GB2312" w:eastAsia="FangSong_GB2312"/>
          <w:sz w:val="32"/>
          <w:szCs w:val="32"/>
        </w:rPr>
      </w:pPr>
      <w:r>
        <w:rPr>
          <w:rFonts w:ascii="FangSong_GB2312" w:hAnsi="FangSong_GB2312" w:eastAsia="FangSong_GB2312"/>
          <w:sz w:val="32"/>
          <w:szCs w:val="32"/>
        </w:rPr>
        <w:t>（</w:t>
      </w:r>
      <w:r>
        <w:rPr>
          <w:rFonts w:hint="eastAsia" w:ascii="FangSong_GB2312" w:hAnsi="FangSong_GB2312" w:eastAsia="FangSong_GB2312"/>
          <w:sz w:val="32"/>
          <w:szCs w:val="32"/>
        </w:rPr>
        <w:t>二</w:t>
      </w:r>
      <w:r>
        <w:rPr>
          <w:rFonts w:ascii="FangSong_GB2312" w:hAnsi="FangSong_GB2312" w:eastAsia="FangSong_GB2312"/>
          <w:sz w:val="32"/>
          <w:szCs w:val="32"/>
        </w:rPr>
        <w:t>）</w:t>
      </w:r>
      <w:r>
        <w:rPr>
          <w:rFonts w:hint="eastAsia" w:ascii="FangSong_GB2312" w:hAnsi="FangSong_GB2312" w:eastAsia="FangSong_GB2312"/>
          <w:sz w:val="32"/>
          <w:szCs w:val="32"/>
        </w:rPr>
        <w:t>结构和布局</w:t>
      </w:r>
    </w:p>
    <w:p>
      <w:pPr>
        <w:spacing w:line="560" w:lineRule="exact"/>
        <w:ind w:firstLine="640" w:firstLineChars="200"/>
        <w:rPr>
          <w:rFonts w:ascii="FangSong_GB2312" w:hAnsi="FangSong_GB2312" w:eastAsia="FangSong_GB2312"/>
          <w:sz w:val="32"/>
          <w:szCs w:val="32"/>
        </w:rPr>
      </w:pPr>
      <w:r>
        <w:rPr>
          <w:rFonts w:ascii="FangSong_GB2312" w:hAnsi="FangSong_GB2312" w:eastAsia="FangSong_GB2312"/>
          <w:sz w:val="32"/>
          <w:szCs w:val="32"/>
        </w:rPr>
        <w:t>兴奋剂检查站由候检室、工作室（含操作间和卫生间）、办公室、志愿者休息室和储藏室5部分组成</w:t>
      </w:r>
      <w:r>
        <w:rPr>
          <w:rFonts w:hint="eastAsia" w:ascii="FangSong_GB2312" w:hAnsi="FangSong_GB2312" w:eastAsia="FangSong_GB2312"/>
          <w:sz w:val="32"/>
          <w:szCs w:val="32"/>
        </w:rPr>
        <w:t>。兴奋剂检查站及各房间中英文名称如下：</w:t>
      </w:r>
    </w:p>
    <w:tbl>
      <w:tblPr>
        <w:tblStyle w:val="7"/>
        <w:tblW w:w="83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02"/>
        <w:gridCol w:w="4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402" w:type="dxa"/>
            <w:vAlign w:val="center"/>
          </w:tcPr>
          <w:p>
            <w:pPr>
              <w:spacing w:line="560" w:lineRule="exact"/>
              <w:contextualSpacing/>
              <w:jc w:val="center"/>
              <w:rPr>
                <w:rFonts w:ascii="FangSong_GB2312" w:hAnsi="FangSong_GB2312" w:eastAsia="FangSong_GB2312" w:cs="仿宋"/>
                <w:sz w:val="32"/>
                <w:szCs w:val="32"/>
              </w:rPr>
            </w:pPr>
            <w:r>
              <w:rPr>
                <w:rFonts w:hint="eastAsia" w:ascii="FangSong_GB2312" w:hAnsi="FangSong_GB2312" w:eastAsia="FangSong_GB2312" w:cs="仿宋"/>
                <w:sz w:val="32"/>
                <w:szCs w:val="32"/>
              </w:rPr>
              <w:t>中文名称</w:t>
            </w:r>
          </w:p>
        </w:tc>
        <w:tc>
          <w:tcPr>
            <w:tcW w:w="4962" w:type="dxa"/>
            <w:vAlign w:val="center"/>
          </w:tcPr>
          <w:p>
            <w:pPr>
              <w:spacing w:line="560" w:lineRule="exact"/>
              <w:contextualSpacing/>
              <w:jc w:val="center"/>
              <w:rPr>
                <w:rFonts w:ascii="FangSong_GB2312" w:hAnsi="FangSong_GB2312" w:eastAsia="FangSong_GB2312" w:cs="仿宋"/>
                <w:sz w:val="32"/>
                <w:szCs w:val="32"/>
              </w:rPr>
            </w:pPr>
            <w:r>
              <w:rPr>
                <w:rFonts w:hint="eastAsia" w:ascii="FangSong_GB2312" w:hAnsi="FangSong_GB2312" w:eastAsia="FangSong_GB2312" w:cs="仿宋"/>
                <w:sz w:val="32"/>
                <w:szCs w:val="32"/>
              </w:rPr>
              <w:t>英文名称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402" w:type="dxa"/>
            <w:vAlign w:val="center"/>
          </w:tcPr>
          <w:p>
            <w:pPr>
              <w:spacing w:line="560" w:lineRule="exact"/>
              <w:contextualSpacing/>
              <w:jc w:val="center"/>
              <w:rPr>
                <w:rFonts w:ascii="FangSong_GB2312" w:hAnsi="FangSong_GB2312" w:eastAsia="FangSong_GB2312" w:cs="仿宋"/>
                <w:sz w:val="32"/>
                <w:szCs w:val="32"/>
              </w:rPr>
            </w:pPr>
            <w:r>
              <w:rPr>
                <w:rFonts w:hint="eastAsia" w:ascii="FangSong_GB2312" w:hAnsi="FangSong_GB2312" w:eastAsia="FangSong_GB2312" w:cs="仿宋"/>
                <w:sz w:val="32"/>
                <w:szCs w:val="32"/>
              </w:rPr>
              <w:t>兴奋剂检查站</w:t>
            </w:r>
          </w:p>
        </w:tc>
        <w:tc>
          <w:tcPr>
            <w:tcW w:w="4962" w:type="dxa"/>
            <w:vAlign w:val="center"/>
          </w:tcPr>
          <w:p>
            <w:pPr>
              <w:spacing w:line="560" w:lineRule="exact"/>
              <w:contextualSpacing/>
              <w:jc w:val="center"/>
              <w:rPr>
                <w:rFonts w:ascii="FangSong_GB2312" w:hAnsi="FangSong_GB2312" w:eastAsia="FangSong_GB2312" w:cs="仿宋"/>
                <w:bCs/>
                <w:sz w:val="32"/>
                <w:szCs w:val="32"/>
              </w:rPr>
            </w:pPr>
            <w:r>
              <w:rPr>
                <w:rFonts w:ascii="FangSong_GB2312" w:hAnsi="FangSong_GB2312" w:eastAsia="FangSong_GB2312" w:cs="仿宋"/>
                <w:bCs/>
                <w:sz w:val="32"/>
                <w:szCs w:val="32"/>
              </w:rPr>
              <w:t xml:space="preserve">Doping Control Station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402" w:type="dxa"/>
            <w:vAlign w:val="center"/>
          </w:tcPr>
          <w:p>
            <w:pPr>
              <w:spacing w:line="560" w:lineRule="exact"/>
              <w:contextualSpacing/>
              <w:jc w:val="center"/>
              <w:rPr>
                <w:rFonts w:ascii="FangSong_GB2312" w:hAnsi="FangSong_GB2312" w:eastAsia="FangSong_GB2312" w:cs="仿宋"/>
                <w:sz w:val="32"/>
                <w:szCs w:val="32"/>
              </w:rPr>
            </w:pPr>
            <w:r>
              <w:rPr>
                <w:rFonts w:hint="eastAsia" w:ascii="FangSong_GB2312" w:hAnsi="FangSong_GB2312" w:eastAsia="FangSong_GB2312" w:cs="仿宋"/>
                <w:sz w:val="32"/>
                <w:szCs w:val="32"/>
              </w:rPr>
              <w:t>候检室</w:t>
            </w:r>
          </w:p>
        </w:tc>
        <w:tc>
          <w:tcPr>
            <w:tcW w:w="4962" w:type="dxa"/>
            <w:vAlign w:val="center"/>
          </w:tcPr>
          <w:p>
            <w:pPr>
              <w:spacing w:line="560" w:lineRule="exact"/>
              <w:contextualSpacing/>
              <w:jc w:val="center"/>
              <w:rPr>
                <w:rFonts w:ascii="FangSong_GB2312" w:hAnsi="FangSong_GB2312" w:eastAsia="FangSong_GB2312" w:cs="仿宋"/>
                <w:bCs/>
                <w:sz w:val="32"/>
                <w:szCs w:val="32"/>
              </w:rPr>
            </w:pPr>
            <w:r>
              <w:rPr>
                <w:rFonts w:ascii="FangSong_GB2312" w:hAnsi="FangSong_GB2312" w:eastAsia="FangSong_GB2312" w:cs="仿宋"/>
                <w:bCs/>
                <w:sz w:val="32"/>
                <w:szCs w:val="32"/>
              </w:rPr>
              <w:t>Waiting Room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402" w:type="dxa"/>
            <w:vAlign w:val="center"/>
          </w:tcPr>
          <w:p>
            <w:pPr>
              <w:spacing w:line="560" w:lineRule="exact"/>
              <w:contextualSpacing/>
              <w:jc w:val="center"/>
              <w:rPr>
                <w:rFonts w:ascii="FangSong_GB2312" w:hAnsi="FangSong_GB2312" w:eastAsia="FangSong_GB2312" w:cs="仿宋"/>
                <w:sz w:val="32"/>
                <w:szCs w:val="32"/>
              </w:rPr>
            </w:pPr>
            <w:r>
              <w:rPr>
                <w:rFonts w:hint="eastAsia" w:ascii="FangSong_GB2312" w:hAnsi="FangSong_GB2312" w:eastAsia="FangSong_GB2312" w:cs="仿宋"/>
                <w:sz w:val="32"/>
                <w:szCs w:val="32"/>
              </w:rPr>
              <w:t>工作室</w:t>
            </w:r>
            <w:r>
              <w:rPr>
                <w:rFonts w:ascii="FangSong_GB2312" w:hAnsi="FangSong_GB2312" w:eastAsia="FangSong_GB2312" w:cs="仿宋"/>
                <w:sz w:val="32"/>
                <w:szCs w:val="32"/>
              </w:rPr>
              <w:t>1</w:t>
            </w:r>
          </w:p>
        </w:tc>
        <w:tc>
          <w:tcPr>
            <w:tcW w:w="4962" w:type="dxa"/>
            <w:vAlign w:val="center"/>
          </w:tcPr>
          <w:p>
            <w:pPr>
              <w:spacing w:line="560" w:lineRule="exact"/>
              <w:contextualSpacing/>
              <w:jc w:val="center"/>
              <w:rPr>
                <w:rFonts w:ascii="FangSong_GB2312" w:hAnsi="FangSong_GB2312" w:eastAsia="FangSong_GB2312" w:cs="仿宋"/>
                <w:bCs/>
                <w:sz w:val="32"/>
                <w:szCs w:val="32"/>
              </w:rPr>
            </w:pPr>
            <w:r>
              <w:rPr>
                <w:rFonts w:ascii="FangSong_GB2312" w:hAnsi="FangSong_GB2312" w:eastAsia="FangSong_GB2312" w:cs="仿宋"/>
                <w:bCs/>
                <w:sz w:val="32"/>
                <w:szCs w:val="32"/>
              </w:rPr>
              <w:t>Processing Room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402" w:type="dxa"/>
            <w:vAlign w:val="center"/>
          </w:tcPr>
          <w:p>
            <w:pPr>
              <w:spacing w:line="560" w:lineRule="exact"/>
              <w:contextualSpacing/>
              <w:jc w:val="center"/>
              <w:rPr>
                <w:rFonts w:ascii="FangSong_GB2312" w:hAnsi="FangSong_GB2312" w:eastAsia="FangSong_GB2312" w:cs="仿宋"/>
                <w:sz w:val="32"/>
                <w:szCs w:val="32"/>
              </w:rPr>
            </w:pPr>
            <w:r>
              <w:rPr>
                <w:rFonts w:hint="eastAsia" w:ascii="FangSong_GB2312" w:hAnsi="FangSong_GB2312" w:eastAsia="FangSong_GB2312" w:cs="仿宋"/>
                <w:sz w:val="32"/>
                <w:szCs w:val="32"/>
              </w:rPr>
              <w:t>工作室</w:t>
            </w:r>
            <w:r>
              <w:rPr>
                <w:rFonts w:ascii="FangSong_GB2312" w:hAnsi="FangSong_GB2312" w:eastAsia="FangSong_GB2312" w:cs="仿宋"/>
                <w:sz w:val="32"/>
                <w:szCs w:val="32"/>
              </w:rPr>
              <w:t>2</w:t>
            </w:r>
          </w:p>
        </w:tc>
        <w:tc>
          <w:tcPr>
            <w:tcW w:w="4962" w:type="dxa"/>
            <w:vAlign w:val="center"/>
          </w:tcPr>
          <w:p>
            <w:pPr>
              <w:spacing w:line="560" w:lineRule="exact"/>
              <w:contextualSpacing/>
              <w:jc w:val="center"/>
              <w:rPr>
                <w:rFonts w:ascii="FangSong_GB2312" w:hAnsi="FangSong_GB2312" w:eastAsia="FangSong_GB2312" w:cs="仿宋"/>
                <w:bCs/>
                <w:sz w:val="32"/>
                <w:szCs w:val="32"/>
              </w:rPr>
            </w:pPr>
            <w:r>
              <w:rPr>
                <w:rFonts w:ascii="FangSong_GB2312" w:hAnsi="FangSong_GB2312" w:eastAsia="FangSong_GB2312" w:cs="仿宋"/>
                <w:bCs/>
                <w:sz w:val="32"/>
                <w:szCs w:val="32"/>
              </w:rPr>
              <w:t>Processing Room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402" w:type="dxa"/>
            <w:vAlign w:val="center"/>
          </w:tcPr>
          <w:p>
            <w:pPr>
              <w:spacing w:line="560" w:lineRule="exact"/>
              <w:contextualSpacing/>
              <w:jc w:val="center"/>
              <w:rPr>
                <w:rFonts w:ascii="FangSong_GB2312" w:hAnsi="FangSong_GB2312" w:eastAsia="FangSong_GB2312" w:cs="仿宋"/>
                <w:sz w:val="32"/>
                <w:szCs w:val="32"/>
              </w:rPr>
            </w:pPr>
            <w:r>
              <w:rPr>
                <w:rFonts w:hint="eastAsia" w:ascii="FangSong_GB2312" w:hAnsi="FangSong_GB2312" w:eastAsia="FangSong_GB2312" w:cs="仿宋"/>
                <w:sz w:val="32"/>
                <w:szCs w:val="32"/>
              </w:rPr>
              <w:t>办公室</w:t>
            </w:r>
          </w:p>
        </w:tc>
        <w:tc>
          <w:tcPr>
            <w:tcW w:w="4962" w:type="dxa"/>
            <w:vAlign w:val="center"/>
          </w:tcPr>
          <w:p>
            <w:pPr>
              <w:spacing w:line="560" w:lineRule="exact"/>
              <w:contextualSpacing/>
              <w:jc w:val="center"/>
              <w:rPr>
                <w:rFonts w:ascii="FangSong_GB2312" w:hAnsi="FangSong_GB2312" w:eastAsia="FangSong_GB2312" w:cs="仿宋"/>
                <w:bCs/>
                <w:sz w:val="32"/>
                <w:szCs w:val="32"/>
              </w:rPr>
            </w:pPr>
            <w:r>
              <w:rPr>
                <w:rFonts w:ascii="FangSong_GB2312" w:hAnsi="FangSong_GB2312" w:eastAsia="FangSong_GB2312" w:cs="仿宋"/>
                <w:bCs/>
                <w:sz w:val="32"/>
                <w:szCs w:val="32"/>
              </w:rPr>
              <w:t>Office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402" w:type="dxa"/>
            <w:vAlign w:val="center"/>
          </w:tcPr>
          <w:p>
            <w:pPr>
              <w:spacing w:line="560" w:lineRule="exact"/>
              <w:contextualSpacing/>
              <w:jc w:val="center"/>
              <w:rPr>
                <w:rFonts w:ascii="FangSong_GB2312" w:hAnsi="FangSong_GB2312" w:eastAsia="FangSong_GB2312" w:cs="仿宋"/>
                <w:sz w:val="32"/>
                <w:szCs w:val="32"/>
              </w:rPr>
            </w:pPr>
            <w:r>
              <w:rPr>
                <w:rFonts w:hint="eastAsia" w:ascii="FangSong_GB2312" w:hAnsi="FangSong_GB2312" w:eastAsia="FangSong_GB2312" w:cs="仿宋"/>
                <w:sz w:val="32"/>
                <w:szCs w:val="32"/>
              </w:rPr>
              <w:t>志愿者休息室</w:t>
            </w:r>
          </w:p>
        </w:tc>
        <w:tc>
          <w:tcPr>
            <w:tcW w:w="4962" w:type="dxa"/>
            <w:vAlign w:val="center"/>
          </w:tcPr>
          <w:p>
            <w:pPr>
              <w:spacing w:line="560" w:lineRule="exact"/>
              <w:contextualSpacing/>
              <w:jc w:val="center"/>
              <w:rPr>
                <w:rFonts w:ascii="FangSong_GB2312" w:hAnsi="FangSong_GB2312" w:eastAsia="FangSong_GB2312" w:cs="仿宋"/>
                <w:bCs/>
                <w:sz w:val="32"/>
                <w:szCs w:val="32"/>
              </w:rPr>
            </w:pPr>
            <w:r>
              <w:rPr>
                <w:rFonts w:hint="eastAsia" w:ascii="FangSong_GB2312" w:hAnsi="FangSong_GB2312" w:eastAsia="FangSong_GB2312" w:cs="仿宋"/>
                <w:bCs/>
                <w:sz w:val="32"/>
                <w:szCs w:val="32"/>
              </w:rPr>
              <w:t>R</w:t>
            </w:r>
            <w:r>
              <w:rPr>
                <w:rFonts w:ascii="FangSong_GB2312" w:hAnsi="FangSong_GB2312" w:eastAsia="FangSong_GB2312" w:cs="仿宋"/>
                <w:bCs/>
                <w:sz w:val="32"/>
                <w:szCs w:val="32"/>
              </w:rPr>
              <w:t>oom for volunteers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402" w:type="dxa"/>
            <w:vAlign w:val="center"/>
          </w:tcPr>
          <w:p>
            <w:pPr>
              <w:spacing w:line="560" w:lineRule="exact"/>
              <w:contextualSpacing/>
              <w:jc w:val="center"/>
              <w:rPr>
                <w:rFonts w:ascii="FangSong_GB2312" w:hAnsi="FangSong_GB2312" w:eastAsia="FangSong_GB2312" w:cs="仿宋"/>
                <w:sz w:val="32"/>
                <w:szCs w:val="32"/>
              </w:rPr>
            </w:pPr>
            <w:r>
              <w:rPr>
                <w:rFonts w:hint="eastAsia" w:ascii="FangSong_GB2312" w:hAnsi="FangSong_GB2312" w:eastAsia="FangSong_GB2312" w:cs="仿宋"/>
                <w:sz w:val="32"/>
                <w:szCs w:val="32"/>
              </w:rPr>
              <w:t>储藏室</w:t>
            </w:r>
          </w:p>
        </w:tc>
        <w:tc>
          <w:tcPr>
            <w:tcW w:w="4962" w:type="dxa"/>
            <w:vAlign w:val="center"/>
          </w:tcPr>
          <w:p>
            <w:pPr>
              <w:spacing w:line="560" w:lineRule="exact"/>
              <w:contextualSpacing/>
              <w:jc w:val="center"/>
              <w:rPr>
                <w:rFonts w:ascii="FangSong_GB2312" w:hAnsi="FangSong_GB2312" w:eastAsia="FangSong_GB2312" w:cs="仿宋"/>
                <w:bCs/>
                <w:sz w:val="32"/>
                <w:szCs w:val="32"/>
              </w:rPr>
            </w:pPr>
            <w:r>
              <w:rPr>
                <w:rFonts w:ascii="FangSong_GB2312" w:hAnsi="FangSong_GB2312" w:eastAsia="FangSong_GB2312" w:cs="仿宋"/>
                <w:bCs/>
                <w:sz w:val="32"/>
                <w:szCs w:val="32"/>
              </w:rPr>
              <w:t xml:space="preserve">Storage </w:t>
            </w:r>
          </w:p>
        </w:tc>
      </w:tr>
    </w:tbl>
    <w:p>
      <w:pPr>
        <w:spacing w:line="560" w:lineRule="exact"/>
        <w:ind w:firstLine="640" w:firstLineChars="200"/>
        <w:contextualSpacing/>
        <w:jc w:val="both"/>
        <w:rPr>
          <w:rFonts w:ascii="FangSong_GB2312" w:hAnsi="FangSong_GB2312" w:eastAsia="FangSong_GB2312"/>
          <w:sz w:val="32"/>
          <w:szCs w:val="32"/>
        </w:rPr>
      </w:pPr>
      <w:r>
        <w:rPr>
          <w:rFonts w:ascii="FangSong_GB2312" w:hAnsi="FangSong_GB2312" w:eastAsia="FangSong_GB2312"/>
          <w:sz w:val="32"/>
          <w:szCs w:val="32"/>
        </w:rPr>
        <w:t>1.</w:t>
      </w:r>
      <w:r>
        <w:rPr>
          <w:rFonts w:hint="eastAsia" w:ascii="FangSong_GB2312" w:hAnsi="FangSong_GB2312" w:eastAsia="FangSong_GB2312"/>
          <w:sz w:val="32"/>
          <w:szCs w:val="32"/>
        </w:rPr>
        <w:t>候检室</w:t>
      </w:r>
    </w:p>
    <w:p>
      <w:pPr>
        <w:spacing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运动员及其陪同进入兴奋剂检查站后休息、等候检查的房间。依据进入兴奋剂检查站受检运动员及陪同的人数确定面积，根据工作需求面积应为</w:t>
      </w:r>
      <w:r>
        <w:rPr>
          <w:rFonts w:ascii="FangSong_GB2312" w:hAnsi="FangSong_GB2312" w:eastAsia="FangSong_GB2312"/>
          <w:sz w:val="32"/>
          <w:szCs w:val="32"/>
        </w:rPr>
        <w:t>20-140平</w:t>
      </w:r>
      <w:r>
        <w:rPr>
          <w:rFonts w:hint="eastAsia" w:ascii="FangSong_GB2312" w:hAnsi="FangSong_GB2312" w:eastAsia="FangSong_GB2312"/>
          <w:sz w:val="32"/>
          <w:szCs w:val="32"/>
        </w:rPr>
        <w:t>方</w:t>
      </w:r>
      <w:r>
        <w:rPr>
          <w:rFonts w:ascii="FangSong_GB2312" w:hAnsi="FangSong_GB2312" w:eastAsia="FangSong_GB2312"/>
          <w:sz w:val="32"/>
          <w:szCs w:val="32"/>
        </w:rPr>
        <w:t>米，</w:t>
      </w:r>
      <w:r>
        <w:rPr>
          <w:rFonts w:hint="eastAsia" w:ascii="FangSong_GB2312" w:hAnsi="FangSong_GB2312" w:eastAsia="FangSong_GB2312"/>
          <w:sz w:val="32"/>
          <w:szCs w:val="32"/>
        </w:rPr>
        <w:t>由</w:t>
      </w:r>
      <w:r>
        <w:rPr>
          <w:rFonts w:ascii="FangSong_GB2312" w:hAnsi="FangSong_GB2312" w:eastAsia="FangSong_GB2312"/>
          <w:sz w:val="32"/>
          <w:szCs w:val="32"/>
        </w:rPr>
        <w:t>1-2</w:t>
      </w:r>
      <w:r>
        <w:rPr>
          <w:rFonts w:hint="eastAsia" w:ascii="FangSong_GB2312" w:hAnsi="FangSong_GB2312" w:eastAsia="FangSong_GB2312"/>
          <w:sz w:val="32"/>
          <w:szCs w:val="32"/>
        </w:rPr>
        <w:t>个房间或区域组成。</w:t>
      </w:r>
    </w:p>
    <w:p>
      <w:pPr>
        <w:spacing w:line="560" w:lineRule="exact"/>
        <w:ind w:firstLine="640" w:firstLineChars="200"/>
        <w:contextualSpacing/>
        <w:jc w:val="both"/>
        <w:rPr>
          <w:rFonts w:ascii="FangSong_GB2312" w:hAnsi="FangSong_GB2312" w:eastAsia="FangSong_GB2312"/>
          <w:sz w:val="32"/>
          <w:szCs w:val="32"/>
        </w:rPr>
      </w:pPr>
      <w:r>
        <w:rPr>
          <w:rFonts w:ascii="FangSong_GB2312" w:hAnsi="FangSong_GB2312" w:eastAsia="FangSong_GB2312"/>
          <w:sz w:val="32"/>
          <w:szCs w:val="32"/>
        </w:rPr>
        <w:t>2</w:t>
      </w:r>
      <w:r>
        <w:rPr>
          <w:rFonts w:hint="eastAsia" w:ascii="FangSong_GB2312" w:hAnsi="FangSong_GB2312" w:eastAsia="FangSong_GB2312"/>
          <w:sz w:val="32"/>
          <w:szCs w:val="32"/>
        </w:rPr>
        <w:t>.工作室</w:t>
      </w:r>
    </w:p>
    <w:p>
      <w:pPr>
        <w:spacing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实施样本采集的房间，由操作间和卫生间组成。每间工作室面</w:t>
      </w:r>
      <w:r>
        <w:rPr>
          <w:rFonts w:ascii="FangSong_GB2312" w:hAnsi="FangSong_GB2312" w:eastAsia="FangSong_GB2312"/>
          <w:sz w:val="32"/>
          <w:szCs w:val="32"/>
        </w:rPr>
        <w:t>积</w:t>
      </w:r>
      <w:r>
        <w:rPr>
          <w:rFonts w:hint="eastAsia" w:ascii="FangSong_GB2312" w:hAnsi="FangSong_GB2312" w:eastAsia="FangSong_GB2312"/>
          <w:sz w:val="32"/>
          <w:szCs w:val="32"/>
        </w:rPr>
        <w:t>应为</w:t>
      </w:r>
      <w:r>
        <w:rPr>
          <w:rFonts w:ascii="FangSong_GB2312" w:hAnsi="FangSong_GB2312" w:eastAsia="FangSong_GB2312"/>
          <w:sz w:val="32"/>
          <w:szCs w:val="32"/>
        </w:rPr>
        <w:t>20平方米</w:t>
      </w:r>
      <w:r>
        <w:rPr>
          <w:rFonts w:hint="eastAsia" w:ascii="FangSong_GB2312" w:hAnsi="FangSong_GB2312" w:eastAsia="FangSong_GB2312"/>
          <w:sz w:val="32"/>
          <w:szCs w:val="32"/>
        </w:rPr>
        <w:t>左右。其中，操作间至少能容纳</w:t>
      </w:r>
      <w:r>
        <w:rPr>
          <w:rFonts w:ascii="FangSong_GB2312" w:hAnsi="FangSong_GB2312" w:eastAsia="FangSong_GB2312"/>
          <w:sz w:val="32"/>
          <w:szCs w:val="32"/>
        </w:rPr>
        <w:t>6人，卫生间</w:t>
      </w:r>
      <w:r>
        <w:rPr>
          <w:rFonts w:hint="eastAsia" w:ascii="FangSong_GB2312" w:hAnsi="FangSong_GB2312" w:eastAsia="FangSong_GB2312"/>
          <w:sz w:val="32"/>
          <w:szCs w:val="32"/>
        </w:rPr>
        <w:t>面积不</w:t>
      </w:r>
      <w:r>
        <w:rPr>
          <w:rFonts w:ascii="FangSong_GB2312" w:hAnsi="FangSong_GB2312" w:eastAsia="FangSong_GB2312"/>
          <w:sz w:val="32"/>
          <w:szCs w:val="32"/>
        </w:rPr>
        <w:t>少</w:t>
      </w:r>
      <w:r>
        <w:rPr>
          <w:rFonts w:hint="eastAsia" w:ascii="FangSong_GB2312" w:hAnsi="FangSong_GB2312" w:eastAsia="FangSong_GB2312"/>
          <w:sz w:val="32"/>
          <w:szCs w:val="32"/>
        </w:rPr>
        <w:t>于</w:t>
      </w:r>
      <w:r>
        <w:rPr>
          <w:rFonts w:ascii="FangSong_GB2312" w:hAnsi="FangSong_GB2312" w:eastAsia="FangSong_GB2312"/>
          <w:sz w:val="32"/>
          <w:szCs w:val="32"/>
        </w:rPr>
        <w:t>4平方米。根据检查</w:t>
      </w:r>
      <w:r>
        <w:rPr>
          <w:rFonts w:hint="eastAsia" w:ascii="FangSong_GB2312" w:hAnsi="FangSong_GB2312" w:eastAsia="FangSong_GB2312"/>
          <w:sz w:val="32"/>
          <w:szCs w:val="32"/>
        </w:rPr>
        <w:t>数量，可设置2</w:t>
      </w:r>
      <w:r>
        <w:rPr>
          <w:rFonts w:ascii="FangSong_GB2312" w:hAnsi="FangSong_GB2312" w:eastAsia="FangSong_GB2312"/>
          <w:sz w:val="32"/>
          <w:szCs w:val="32"/>
        </w:rPr>
        <w:t>个</w:t>
      </w:r>
      <w:r>
        <w:rPr>
          <w:rFonts w:hint="eastAsia" w:ascii="FangSong_GB2312" w:hAnsi="FangSong_GB2312" w:eastAsia="FangSong_GB2312"/>
          <w:sz w:val="32"/>
          <w:szCs w:val="32"/>
        </w:rPr>
        <w:t>以上、</w:t>
      </w:r>
      <w:r>
        <w:rPr>
          <w:rFonts w:ascii="FangSong_GB2312" w:hAnsi="FangSong_GB2312" w:eastAsia="FangSong_GB2312"/>
          <w:sz w:val="32"/>
          <w:szCs w:val="32"/>
        </w:rPr>
        <w:t>与候检室相通的工作室。</w:t>
      </w:r>
    </w:p>
    <w:p>
      <w:pPr>
        <w:spacing w:line="560" w:lineRule="exact"/>
        <w:ind w:firstLine="640" w:firstLineChars="200"/>
        <w:contextualSpacing/>
        <w:jc w:val="both"/>
        <w:rPr>
          <w:rFonts w:ascii="FangSong_GB2312" w:hAnsi="FangSong_GB2312" w:eastAsia="FangSong_GB2312"/>
          <w:sz w:val="32"/>
          <w:szCs w:val="32"/>
        </w:rPr>
      </w:pPr>
      <w:r>
        <w:rPr>
          <w:rFonts w:ascii="FangSong_GB2312" w:hAnsi="FangSong_GB2312" w:eastAsia="FangSong_GB2312"/>
          <w:sz w:val="32"/>
          <w:szCs w:val="32"/>
        </w:rPr>
        <w:t>3</w:t>
      </w:r>
      <w:r>
        <w:rPr>
          <w:rFonts w:hint="eastAsia" w:ascii="FangSong_GB2312" w:hAnsi="FangSong_GB2312" w:eastAsia="FangSong_GB2312"/>
          <w:sz w:val="32"/>
          <w:szCs w:val="32"/>
        </w:rPr>
        <w:t>.办公室</w:t>
      </w:r>
    </w:p>
    <w:p>
      <w:pPr>
        <w:spacing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用于经理、陪护主管等检查人员日常办公的房间，包括实施抽签、存放检查文件等，面积应为</w:t>
      </w:r>
      <w:r>
        <w:rPr>
          <w:rFonts w:ascii="FangSong_GB2312" w:hAnsi="FangSong_GB2312" w:eastAsia="FangSong_GB2312"/>
          <w:sz w:val="32"/>
          <w:szCs w:val="32"/>
        </w:rPr>
        <w:t>10-30平方米。</w:t>
      </w:r>
    </w:p>
    <w:p>
      <w:pPr>
        <w:spacing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4.志愿者休息室</w:t>
      </w:r>
    </w:p>
    <w:p>
      <w:pPr>
        <w:spacing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检查工作期间志愿者开会、等候和休息的房间，面积应为</w:t>
      </w:r>
      <w:r>
        <w:rPr>
          <w:rFonts w:ascii="FangSong_GB2312" w:hAnsi="FangSong_GB2312" w:eastAsia="FangSong_GB2312"/>
          <w:sz w:val="32"/>
          <w:szCs w:val="32"/>
        </w:rPr>
        <w:t>10-</w:t>
      </w:r>
      <w:r>
        <w:rPr>
          <w:rFonts w:hint="eastAsia" w:ascii="FangSong_GB2312" w:hAnsi="FangSong_GB2312" w:eastAsia="FangSong_GB2312"/>
          <w:sz w:val="32"/>
          <w:szCs w:val="32"/>
        </w:rPr>
        <w:t>3</w:t>
      </w:r>
      <w:r>
        <w:rPr>
          <w:rFonts w:ascii="FangSong_GB2312" w:hAnsi="FangSong_GB2312" w:eastAsia="FangSong_GB2312"/>
          <w:sz w:val="32"/>
          <w:szCs w:val="32"/>
        </w:rPr>
        <w:t>0平方米。</w:t>
      </w:r>
      <w:r>
        <w:rPr>
          <w:rFonts w:hint="eastAsia" w:ascii="FangSong_GB2312" w:hAnsi="FangSong_GB2312" w:eastAsia="FangSong_GB2312"/>
          <w:sz w:val="32"/>
          <w:szCs w:val="32"/>
        </w:rPr>
        <w:t>志愿者休息室可为与兴奋剂检查站相连或相近的房间。</w:t>
      </w:r>
    </w:p>
    <w:p>
      <w:pPr>
        <w:spacing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5.储藏室</w:t>
      </w:r>
    </w:p>
    <w:p>
      <w:pPr>
        <w:spacing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用于储存检查专用器材和饮料等，面积应为</w:t>
      </w:r>
      <w:r>
        <w:rPr>
          <w:rFonts w:ascii="FangSong_GB2312" w:hAnsi="FangSong_GB2312" w:eastAsia="FangSong_GB2312"/>
          <w:sz w:val="32"/>
          <w:szCs w:val="32"/>
        </w:rPr>
        <w:t>10-30平方米。</w:t>
      </w:r>
    </w:p>
    <w:p>
      <w:pPr>
        <w:spacing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（三）内部设施</w:t>
      </w:r>
    </w:p>
    <w:p>
      <w:pPr>
        <w:spacing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1.兴奋剂检查站应当安全带锁、门窗密闭良好，在锁闭的情况下，没有任何途径、空间、缝隙可进入。</w:t>
      </w:r>
    </w:p>
    <w:p>
      <w:pPr>
        <w:spacing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2.兴奋剂检查站如设有窗户，应配有窗帘或增设不透明玻璃贴纸，确保检查站内任何活动均为外部不可见。</w:t>
      </w:r>
    </w:p>
    <w:p>
      <w:pPr>
        <w:spacing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3.兴奋剂检查站应当墙面粉刷干净整洁，地面平整，冬季项目应当在站内部分区域增设防滑垫。</w:t>
      </w:r>
    </w:p>
    <w:p>
      <w:pPr>
        <w:spacing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4.兴奋剂检查站内不得安装任何监控设备；在兴奋剂检查站门外应当安装监控设备，确保监控设备能够记录人员进出兴奋剂检查站的情况。</w:t>
      </w:r>
    </w:p>
    <w:p>
      <w:pPr>
        <w:spacing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5.兴奋剂检查站内各房间应当相连，确保室内通风、照明良好。</w:t>
      </w:r>
    </w:p>
    <w:p>
      <w:pPr>
        <w:spacing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6.卫生间应设有洗手装置，冬季项目应当提供热水。环坐便器或蹲便器三面设置镜子（自地面起1.2米高，宽度至少1米，可按实际情况延伸）。</w:t>
      </w:r>
    </w:p>
    <w:p>
      <w:pPr>
        <w:spacing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7.兴奋剂检查站内各房间预留220V用电。</w:t>
      </w:r>
    </w:p>
    <w:p>
      <w:pPr>
        <w:spacing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8.兴奋剂检查站应当设有备用电力系统，保障停电后15-30秒内能够恢复供电；或在工作室、候检室提供充电式应急照明灯。</w:t>
      </w:r>
    </w:p>
    <w:p>
      <w:pPr>
        <w:spacing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9.安装、辅设电子设备及相关管线时，不得影响无障碍设施和流线。</w:t>
      </w:r>
    </w:p>
    <w:p>
      <w:pPr>
        <w:spacing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10.兴奋剂检查站应当保障通信网络正常、流畅使用，网络信号良好。</w:t>
      </w:r>
    </w:p>
    <w:p>
      <w:pPr>
        <w:spacing w:line="560" w:lineRule="exact"/>
        <w:ind w:firstLine="640" w:firstLineChars="200"/>
        <w:contextualSpacing/>
        <w:jc w:val="both"/>
        <w:rPr>
          <w:rFonts w:ascii="FangSong_GB2312" w:hAnsi="FangSong_GB2312" w:eastAsia="FangSong_GB2312"/>
          <w:sz w:val="32"/>
          <w:szCs w:val="32"/>
          <w:lang w:val="zh-CN"/>
        </w:rPr>
      </w:pPr>
      <w:r>
        <w:rPr>
          <w:rFonts w:hint="eastAsia" w:ascii="FangSong_GB2312" w:hAnsi="FangSong_GB2312" w:eastAsia="FangSong_GB2312"/>
          <w:sz w:val="32"/>
          <w:szCs w:val="32"/>
          <w:lang w:val="zh-CN"/>
        </w:rPr>
        <w:t>三、兴奋剂检查站类别</w:t>
      </w:r>
    </w:p>
    <w:p>
      <w:pPr>
        <w:spacing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根据运动项目、受检运动员人数、检查峰值等设定兴奋剂检查内相应房间的数量和面积。兴奋剂检查站可分为以下三类：</w:t>
      </w:r>
    </w:p>
    <w:p>
      <w:pPr>
        <w:spacing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（一）</w:t>
      </w:r>
      <w:r>
        <w:rPr>
          <w:rFonts w:ascii="FangSong_GB2312" w:hAnsi="FangSong_GB2312" w:eastAsia="FangSong_GB2312"/>
          <w:sz w:val="32"/>
          <w:szCs w:val="32"/>
        </w:rPr>
        <w:t>B类</w:t>
      </w:r>
      <w:r>
        <w:rPr>
          <w:rFonts w:hint="eastAsia" w:ascii="FangSong_GB2312" w:hAnsi="FangSong_GB2312" w:eastAsia="FangSong_GB2312"/>
          <w:sz w:val="32"/>
          <w:szCs w:val="32"/>
        </w:rPr>
        <w:t>兴奋剂</w:t>
      </w:r>
      <w:r>
        <w:rPr>
          <w:rFonts w:ascii="FangSong_GB2312" w:hAnsi="FangSong_GB2312" w:eastAsia="FangSong_GB2312"/>
          <w:sz w:val="32"/>
          <w:szCs w:val="32"/>
        </w:rPr>
        <w:t>检查站</w:t>
      </w:r>
    </w:p>
    <w:p>
      <w:pPr>
        <w:spacing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总面积</w:t>
      </w:r>
      <w:r>
        <w:rPr>
          <w:rFonts w:ascii="FangSong_GB2312" w:hAnsi="FangSong_GB2312" w:eastAsia="FangSong_GB2312"/>
          <w:sz w:val="32"/>
          <w:szCs w:val="32"/>
        </w:rPr>
        <w:t>1</w:t>
      </w:r>
      <w:r>
        <w:rPr>
          <w:rFonts w:hint="eastAsia" w:ascii="FangSong_GB2312" w:hAnsi="FangSong_GB2312" w:eastAsia="FangSong_GB2312"/>
          <w:sz w:val="32"/>
          <w:szCs w:val="32"/>
        </w:rPr>
        <w:t>3</w:t>
      </w:r>
      <w:r>
        <w:rPr>
          <w:rFonts w:ascii="FangSong_GB2312" w:hAnsi="FangSong_GB2312" w:eastAsia="FangSong_GB2312"/>
          <w:sz w:val="32"/>
          <w:szCs w:val="32"/>
        </w:rPr>
        <w:t>0-1</w:t>
      </w:r>
      <w:r>
        <w:rPr>
          <w:rFonts w:hint="eastAsia" w:ascii="FangSong_GB2312" w:hAnsi="FangSong_GB2312" w:eastAsia="FangSong_GB2312"/>
          <w:sz w:val="32"/>
          <w:szCs w:val="32"/>
        </w:rPr>
        <w:t>5</w:t>
      </w:r>
      <w:r>
        <w:rPr>
          <w:rFonts w:ascii="FangSong_GB2312" w:hAnsi="FangSong_GB2312" w:eastAsia="FangSong_GB2312"/>
          <w:sz w:val="32"/>
          <w:szCs w:val="32"/>
        </w:rPr>
        <w:t>0平方米，内含：候检室(40-60平米)、工作室2间（20平米/间）、办公室1间（20平米）、</w:t>
      </w:r>
      <w:r>
        <w:rPr>
          <w:rFonts w:hint="eastAsia" w:ascii="FangSong_GB2312" w:hAnsi="FangSong_GB2312" w:eastAsia="FangSong_GB2312"/>
          <w:sz w:val="32"/>
          <w:szCs w:val="32"/>
        </w:rPr>
        <w:t>志愿者休息室</w:t>
      </w:r>
      <w:r>
        <w:rPr>
          <w:rFonts w:ascii="FangSong_GB2312" w:hAnsi="FangSong_GB2312" w:eastAsia="FangSong_GB2312"/>
          <w:sz w:val="32"/>
          <w:szCs w:val="32"/>
        </w:rPr>
        <w:t>1间</w:t>
      </w:r>
      <w:r>
        <w:rPr>
          <w:rFonts w:hint="eastAsia" w:ascii="FangSong_GB2312" w:hAnsi="FangSong_GB2312" w:eastAsia="FangSong_GB2312"/>
          <w:sz w:val="32"/>
          <w:szCs w:val="32"/>
        </w:rPr>
        <w:t>（2</w:t>
      </w:r>
      <w:r>
        <w:rPr>
          <w:rFonts w:ascii="FangSong_GB2312" w:hAnsi="FangSong_GB2312" w:eastAsia="FangSong_GB2312"/>
          <w:sz w:val="32"/>
          <w:szCs w:val="32"/>
        </w:rPr>
        <w:t>0</w:t>
      </w:r>
      <w:r>
        <w:rPr>
          <w:rFonts w:hint="eastAsia" w:ascii="FangSong_GB2312" w:hAnsi="FangSong_GB2312" w:eastAsia="FangSong_GB2312"/>
          <w:sz w:val="32"/>
          <w:szCs w:val="32"/>
        </w:rPr>
        <w:t>平米）、</w:t>
      </w:r>
      <w:r>
        <w:rPr>
          <w:rFonts w:ascii="FangSong_GB2312" w:hAnsi="FangSong_GB2312" w:eastAsia="FangSong_GB2312"/>
          <w:sz w:val="32"/>
          <w:szCs w:val="32"/>
        </w:rPr>
        <w:t>储藏室1间（10平米）。</w:t>
      </w:r>
    </w:p>
    <w:p>
      <w:pPr>
        <w:spacing w:after="160"/>
        <w:ind w:firstLine="640" w:firstLineChars="200"/>
        <w:contextualSpacing/>
        <w:jc w:val="center"/>
        <w:rPr>
          <w:rFonts w:ascii="FangSong_GB2312" w:hAnsi="FangSong_GB2312" w:eastAsia="FangSong_GB2312"/>
          <w:sz w:val="32"/>
          <w:szCs w:val="32"/>
        </w:rPr>
      </w:pPr>
      <w:r>
        <w:rPr>
          <w:rFonts w:ascii="FangSong_GB2312" w:hAnsi="FangSong_GB2312" w:eastAsia="FangSong_GB2312"/>
          <w:sz w:val="32"/>
          <w:szCs w:val="32"/>
        </w:rPr>
        <w:drawing>
          <wp:inline distT="0" distB="0" distL="0" distR="0">
            <wp:extent cx="4512945" cy="2563495"/>
            <wp:effectExtent l="0" t="0" r="8255"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6" cstate="print">
                      <a:extLst>
                        <a:ext uri="{28A0092B-C50C-407E-A947-70E740481C1C}">
                          <a14:useLocalDpi xmlns:a14="http://schemas.microsoft.com/office/drawing/2010/main" val="0"/>
                        </a:ext>
                      </a:extLst>
                    </a:blip>
                    <a:srcRect b="11405"/>
                    <a:stretch>
                      <a:fillRect/>
                    </a:stretch>
                  </pic:blipFill>
                  <pic:spPr>
                    <a:xfrm>
                      <a:off x="0" y="0"/>
                      <a:ext cx="4512945" cy="2563495"/>
                    </a:xfrm>
                    <a:prstGeom prst="rect">
                      <a:avLst/>
                    </a:prstGeom>
                    <a:ln>
                      <a:noFill/>
                    </a:ln>
                  </pic:spPr>
                </pic:pic>
              </a:graphicData>
            </a:graphic>
          </wp:inline>
        </w:drawing>
      </w:r>
    </w:p>
    <w:p>
      <w:pPr>
        <w:spacing w:after="160" w:line="560" w:lineRule="exact"/>
        <w:ind w:firstLine="640" w:firstLineChars="200"/>
        <w:contextualSpacing/>
        <w:jc w:val="center"/>
        <w:rPr>
          <w:rFonts w:ascii="FangSong_GB2312" w:hAnsi="FangSong_GB2312" w:eastAsia="FangSong_GB2312"/>
          <w:sz w:val="32"/>
          <w:szCs w:val="32"/>
        </w:rPr>
      </w:pPr>
      <w:r>
        <w:rPr>
          <w:rFonts w:hint="eastAsia" w:ascii="FangSong_GB2312" w:hAnsi="FangSong_GB2312" w:eastAsia="FangSong_GB2312"/>
          <w:sz w:val="32"/>
          <w:szCs w:val="32"/>
        </w:rPr>
        <w:t>图</w:t>
      </w:r>
      <w:r>
        <w:rPr>
          <w:rFonts w:ascii="FangSong_GB2312" w:hAnsi="FangSong_GB2312" w:eastAsia="FangSong_GB2312"/>
          <w:sz w:val="32"/>
          <w:szCs w:val="32"/>
        </w:rPr>
        <w:t>1</w:t>
      </w:r>
      <w:r>
        <w:rPr>
          <w:rFonts w:hint="eastAsia" w:ascii="FangSong_GB2312" w:hAnsi="FangSong_GB2312" w:eastAsia="FangSong_GB2312"/>
          <w:sz w:val="32"/>
          <w:szCs w:val="32"/>
        </w:rPr>
        <w:t xml:space="preserve">  </w:t>
      </w:r>
      <w:r>
        <w:rPr>
          <w:rFonts w:ascii="FangSong_GB2312" w:hAnsi="FangSong_GB2312" w:eastAsia="FangSong_GB2312"/>
          <w:sz w:val="32"/>
          <w:szCs w:val="32"/>
        </w:rPr>
        <w:t>B</w:t>
      </w:r>
      <w:r>
        <w:rPr>
          <w:rFonts w:hint="eastAsia" w:ascii="FangSong_GB2312" w:hAnsi="FangSong_GB2312" w:eastAsia="FangSong_GB2312"/>
          <w:sz w:val="32"/>
          <w:szCs w:val="32"/>
        </w:rPr>
        <w:t>类兴奋剂检查站布局示意图</w:t>
      </w:r>
    </w:p>
    <w:p>
      <w:pPr>
        <w:spacing w:after="160" w:line="560" w:lineRule="exact"/>
        <w:ind w:firstLine="640" w:firstLineChars="200"/>
        <w:contextualSpacing/>
        <w:rPr>
          <w:rFonts w:ascii="FangSong_GB2312" w:hAnsi="FangSong_GB2312" w:eastAsia="FangSong_GB2312"/>
          <w:sz w:val="32"/>
          <w:szCs w:val="32"/>
        </w:rPr>
      </w:pPr>
      <w:r>
        <w:rPr>
          <w:rFonts w:hint="eastAsia" w:ascii="FangSong_GB2312" w:hAnsi="FangSong_GB2312" w:eastAsia="FangSong_GB2312"/>
          <w:sz w:val="32"/>
          <w:szCs w:val="32"/>
        </w:rPr>
        <w:t>（二）</w:t>
      </w:r>
      <w:r>
        <w:rPr>
          <w:rFonts w:ascii="FangSong_GB2312" w:hAnsi="FangSong_GB2312" w:eastAsia="FangSong_GB2312"/>
          <w:sz w:val="32"/>
          <w:szCs w:val="32"/>
        </w:rPr>
        <w:t>C</w:t>
      </w:r>
      <w:r>
        <w:rPr>
          <w:rFonts w:hint="eastAsia" w:ascii="FangSong_GB2312" w:hAnsi="FangSong_GB2312" w:eastAsia="FangSong_GB2312"/>
          <w:sz w:val="32"/>
          <w:szCs w:val="32"/>
        </w:rPr>
        <w:t>类兴奋剂检查站</w:t>
      </w:r>
    </w:p>
    <w:p>
      <w:pPr>
        <w:spacing w:after="160"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总面积190-230平方米左右，内含：候检室(60-100平米)、工作室3间（20平米/间）、办公室1间（20平米）、志愿者休息室1间（30平米）、储藏室1间（20平米）。</w:t>
      </w:r>
    </w:p>
    <w:p>
      <w:pPr>
        <w:spacing w:after="160"/>
        <w:ind w:firstLine="640" w:firstLineChars="200"/>
        <w:contextualSpacing/>
        <w:jc w:val="center"/>
        <w:rPr>
          <w:rFonts w:ascii="FangSong_GB2312" w:hAnsi="FangSong_GB2312" w:eastAsia="FangSong_GB2312"/>
          <w:sz w:val="32"/>
          <w:szCs w:val="32"/>
        </w:rPr>
      </w:pPr>
      <w:r>
        <w:rPr>
          <w:rFonts w:ascii="FangSong_GB2312" w:hAnsi="FangSong_GB2312" w:eastAsia="FangSong_GB2312"/>
          <w:sz w:val="32"/>
          <w:szCs w:val="32"/>
        </w:rPr>
        <w:drawing>
          <wp:inline distT="0" distB="0" distL="0" distR="0">
            <wp:extent cx="4688205" cy="2900680"/>
            <wp:effectExtent l="0" t="0" r="10795" b="20320"/>
            <wp:docPr id="20" name="图片 20" descr="A floor plan of a off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A floor plan of a office&#10;&#10;Description automatically generated"/>
                    <pic:cNvPicPr>
                      <a:picLocks noChangeAspect="1"/>
                    </pic:cNvPicPr>
                  </pic:nvPicPr>
                  <pic:blipFill>
                    <a:blip r:embed="rId7" cstate="print">
                      <a:extLst>
                        <a:ext uri="{28A0092B-C50C-407E-A947-70E740481C1C}">
                          <a14:useLocalDpi xmlns:a14="http://schemas.microsoft.com/office/drawing/2010/main" val="0"/>
                        </a:ext>
                      </a:extLst>
                    </a:blip>
                    <a:srcRect b="8169"/>
                    <a:stretch>
                      <a:fillRect/>
                    </a:stretch>
                  </pic:blipFill>
                  <pic:spPr>
                    <a:xfrm>
                      <a:off x="0" y="0"/>
                      <a:ext cx="4693784" cy="2904495"/>
                    </a:xfrm>
                    <a:prstGeom prst="rect">
                      <a:avLst/>
                    </a:prstGeom>
                    <a:ln>
                      <a:noFill/>
                    </a:ln>
                  </pic:spPr>
                </pic:pic>
              </a:graphicData>
            </a:graphic>
          </wp:inline>
        </w:drawing>
      </w:r>
    </w:p>
    <w:p>
      <w:pPr>
        <w:spacing w:after="160" w:line="560" w:lineRule="exact"/>
        <w:ind w:firstLine="640" w:firstLineChars="200"/>
        <w:contextualSpacing/>
        <w:jc w:val="center"/>
        <w:rPr>
          <w:rFonts w:ascii="FangSong_GB2312" w:hAnsi="FangSong_GB2312" w:eastAsia="FangSong_GB2312"/>
          <w:sz w:val="32"/>
          <w:szCs w:val="32"/>
        </w:rPr>
      </w:pPr>
      <w:r>
        <w:rPr>
          <w:rFonts w:hint="eastAsia" w:ascii="FangSong_GB2312" w:hAnsi="FangSong_GB2312" w:eastAsia="FangSong_GB2312"/>
          <w:sz w:val="32"/>
          <w:szCs w:val="32"/>
        </w:rPr>
        <w:t xml:space="preserve">图2  </w:t>
      </w:r>
      <w:r>
        <w:rPr>
          <w:rFonts w:ascii="FangSong_GB2312" w:hAnsi="FangSong_GB2312" w:eastAsia="FangSong_GB2312"/>
          <w:sz w:val="32"/>
          <w:szCs w:val="32"/>
        </w:rPr>
        <w:t>C</w:t>
      </w:r>
      <w:r>
        <w:rPr>
          <w:rFonts w:hint="eastAsia" w:ascii="FangSong_GB2312" w:hAnsi="FangSong_GB2312" w:eastAsia="FangSong_GB2312"/>
          <w:sz w:val="32"/>
          <w:szCs w:val="32"/>
        </w:rPr>
        <w:t>类兴奋剂检查站布局示意图</w:t>
      </w:r>
    </w:p>
    <w:p>
      <w:pPr>
        <w:spacing w:after="160" w:line="560" w:lineRule="exact"/>
        <w:ind w:firstLine="640" w:firstLineChars="200"/>
        <w:contextualSpacing/>
        <w:rPr>
          <w:rFonts w:ascii="FangSong_GB2312" w:hAnsi="FangSong_GB2312" w:eastAsia="FangSong_GB2312"/>
          <w:sz w:val="32"/>
          <w:szCs w:val="32"/>
        </w:rPr>
      </w:pPr>
      <w:r>
        <w:rPr>
          <w:rFonts w:hint="eastAsia" w:ascii="FangSong_GB2312" w:hAnsi="FangSong_GB2312" w:eastAsia="FangSong_GB2312"/>
          <w:sz w:val="32"/>
          <w:szCs w:val="32"/>
        </w:rPr>
        <w:t>（三）</w:t>
      </w:r>
      <w:r>
        <w:rPr>
          <w:rFonts w:ascii="FangSong_GB2312" w:hAnsi="FangSong_GB2312" w:eastAsia="FangSong_GB2312"/>
          <w:sz w:val="32"/>
          <w:szCs w:val="32"/>
        </w:rPr>
        <w:t>D类</w:t>
      </w:r>
      <w:r>
        <w:rPr>
          <w:rFonts w:hint="eastAsia" w:ascii="FangSong_GB2312" w:hAnsi="FangSong_GB2312" w:eastAsia="FangSong_GB2312"/>
          <w:sz w:val="32"/>
          <w:szCs w:val="32"/>
        </w:rPr>
        <w:t>兴奋剂</w:t>
      </w:r>
      <w:r>
        <w:rPr>
          <w:rFonts w:ascii="FangSong_GB2312" w:hAnsi="FangSong_GB2312" w:eastAsia="FangSong_GB2312"/>
          <w:sz w:val="32"/>
          <w:szCs w:val="32"/>
        </w:rPr>
        <w:t>检查站</w:t>
      </w:r>
    </w:p>
    <w:p>
      <w:pPr>
        <w:spacing w:after="160"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总面积</w:t>
      </w:r>
      <w:r>
        <w:rPr>
          <w:rFonts w:ascii="FangSong_GB2312" w:hAnsi="FangSong_GB2312" w:eastAsia="FangSong_GB2312"/>
          <w:sz w:val="32"/>
          <w:szCs w:val="32"/>
        </w:rPr>
        <w:t>2</w:t>
      </w:r>
      <w:r>
        <w:rPr>
          <w:rFonts w:hint="eastAsia" w:ascii="FangSong_GB2312" w:hAnsi="FangSong_GB2312" w:eastAsia="FangSong_GB2312"/>
          <w:sz w:val="32"/>
          <w:szCs w:val="32"/>
        </w:rPr>
        <w:t>7</w:t>
      </w:r>
      <w:r>
        <w:rPr>
          <w:rFonts w:ascii="FangSong_GB2312" w:hAnsi="FangSong_GB2312" w:eastAsia="FangSong_GB2312"/>
          <w:sz w:val="32"/>
          <w:szCs w:val="32"/>
        </w:rPr>
        <w:t>0-</w:t>
      </w:r>
      <w:r>
        <w:rPr>
          <w:rFonts w:hint="eastAsia" w:ascii="FangSong_GB2312" w:hAnsi="FangSong_GB2312" w:eastAsia="FangSong_GB2312"/>
          <w:sz w:val="32"/>
          <w:szCs w:val="32"/>
        </w:rPr>
        <w:t>31</w:t>
      </w:r>
      <w:r>
        <w:rPr>
          <w:rFonts w:ascii="FangSong_GB2312" w:hAnsi="FangSong_GB2312" w:eastAsia="FangSong_GB2312"/>
          <w:sz w:val="32"/>
          <w:szCs w:val="32"/>
        </w:rPr>
        <w:t>0平方米左右，内含：候检室(</w:t>
      </w:r>
      <w:r>
        <w:rPr>
          <w:rFonts w:hint="eastAsia" w:ascii="FangSong_GB2312" w:hAnsi="FangSong_GB2312" w:eastAsia="FangSong_GB2312"/>
          <w:sz w:val="32"/>
          <w:szCs w:val="32"/>
        </w:rPr>
        <w:t>10</w:t>
      </w:r>
      <w:r>
        <w:rPr>
          <w:rFonts w:ascii="FangSong_GB2312" w:hAnsi="FangSong_GB2312" w:eastAsia="FangSong_GB2312"/>
          <w:sz w:val="32"/>
          <w:szCs w:val="32"/>
        </w:rPr>
        <w:t>0-1</w:t>
      </w:r>
      <w:r>
        <w:rPr>
          <w:rFonts w:hint="eastAsia" w:ascii="FangSong_GB2312" w:hAnsi="FangSong_GB2312" w:eastAsia="FangSong_GB2312"/>
          <w:sz w:val="32"/>
          <w:szCs w:val="32"/>
        </w:rPr>
        <w:t>4</w:t>
      </w:r>
      <w:r>
        <w:rPr>
          <w:rFonts w:ascii="FangSong_GB2312" w:hAnsi="FangSong_GB2312" w:eastAsia="FangSong_GB2312"/>
          <w:sz w:val="32"/>
          <w:szCs w:val="32"/>
        </w:rPr>
        <w:t>0平米)、工作室4间</w:t>
      </w:r>
      <w:r>
        <w:rPr>
          <w:rFonts w:hint="eastAsia" w:ascii="FangSong_GB2312" w:hAnsi="FangSong_GB2312" w:eastAsia="FangSong_GB2312"/>
          <w:sz w:val="32"/>
          <w:szCs w:val="32"/>
        </w:rPr>
        <w:t>或以上</w:t>
      </w:r>
      <w:r>
        <w:rPr>
          <w:rFonts w:ascii="FangSong_GB2312" w:hAnsi="FangSong_GB2312" w:eastAsia="FangSong_GB2312"/>
          <w:sz w:val="32"/>
          <w:szCs w:val="32"/>
        </w:rPr>
        <w:t>（20平米/间）、办公室1间（30平米）、</w:t>
      </w:r>
      <w:r>
        <w:rPr>
          <w:rFonts w:hint="eastAsia" w:ascii="FangSong_GB2312" w:hAnsi="FangSong_GB2312" w:eastAsia="FangSong_GB2312"/>
          <w:sz w:val="32"/>
          <w:szCs w:val="32"/>
        </w:rPr>
        <w:t>志愿者休息室</w:t>
      </w:r>
      <w:r>
        <w:rPr>
          <w:rFonts w:ascii="FangSong_GB2312" w:hAnsi="FangSong_GB2312" w:eastAsia="FangSong_GB2312"/>
          <w:sz w:val="32"/>
          <w:szCs w:val="32"/>
        </w:rPr>
        <w:t>1间</w:t>
      </w:r>
      <w:r>
        <w:rPr>
          <w:rFonts w:hint="eastAsia" w:ascii="FangSong_GB2312" w:hAnsi="FangSong_GB2312" w:eastAsia="FangSong_GB2312"/>
          <w:sz w:val="32"/>
          <w:szCs w:val="32"/>
        </w:rPr>
        <w:t>（3</w:t>
      </w:r>
      <w:r>
        <w:rPr>
          <w:rFonts w:ascii="FangSong_GB2312" w:hAnsi="FangSong_GB2312" w:eastAsia="FangSong_GB2312"/>
          <w:sz w:val="32"/>
          <w:szCs w:val="32"/>
        </w:rPr>
        <w:t>0</w:t>
      </w:r>
      <w:r>
        <w:rPr>
          <w:rFonts w:hint="eastAsia" w:ascii="FangSong_GB2312" w:hAnsi="FangSong_GB2312" w:eastAsia="FangSong_GB2312"/>
          <w:sz w:val="32"/>
          <w:szCs w:val="32"/>
        </w:rPr>
        <w:t>平米）、</w:t>
      </w:r>
      <w:r>
        <w:rPr>
          <w:rFonts w:ascii="FangSong_GB2312" w:hAnsi="FangSong_GB2312" w:eastAsia="FangSong_GB2312"/>
          <w:sz w:val="32"/>
          <w:szCs w:val="32"/>
        </w:rPr>
        <w:t>储藏室1间（30平米）。</w:t>
      </w:r>
    </w:p>
    <w:p>
      <w:pPr>
        <w:spacing w:after="160"/>
        <w:ind w:firstLine="640" w:firstLineChars="200"/>
        <w:contextualSpacing/>
        <w:jc w:val="center"/>
        <w:rPr>
          <w:rFonts w:ascii="FangSong_GB2312" w:hAnsi="FangSong_GB2312" w:eastAsia="FangSong_GB2312"/>
          <w:sz w:val="32"/>
          <w:szCs w:val="32"/>
        </w:rPr>
      </w:pPr>
      <w:r>
        <w:rPr>
          <w:rFonts w:ascii="FangSong_GB2312" w:hAnsi="FangSong_GB2312" w:eastAsia="FangSong_GB2312"/>
          <w:sz w:val="32"/>
          <w:szCs w:val="32"/>
        </w:rPr>
        <w:drawing>
          <wp:inline distT="0" distB="0" distL="0" distR="0">
            <wp:extent cx="4227830" cy="2826385"/>
            <wp:effectExtent l="0" t="0" r="13970" b="1841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8" cstate="print">
                      <a:extLst>
                        <a:ext uri="{28A0092B-C50C-407E-A947-70E740481C1C}">
                          <a14:useLocalDpi xmlns:a14="http://schemas.microsoft.com/office/drawing/2010/main" val="0"/>
                        </a:ext>
                      </a:extLst>
                    </a:blip>
                    <a:srcRect b="8179"/>
                    <a:stretch>
                      <a:fillRect/>
                    </a:stretch>
                  </pic:blipFill>
                  <pic:spPr>
                    <a:xfrm>
                      <a:off x="0" y="0"/>
                      <a:ext cx="4227830" cy="2826385"/>
                    </a:xfrm>
                    <a:prstGeom prst="rect">
                      <a:avLst/>
                    </a:prstGeom>
                    <a:ln>
                      <a:noFill/>
                    </a:ln>
                  </pic:spPr>
                </pic:pic>
              </a:graphicData>
            </a:graphic>
          </wp:inline>
        </w:drawing>
      </w:r>
    </w:p>
    <w:p>
      <w:pPr>
        <w:spacing w:after="160" w:line="560" w:lineRule="exact"/>
        <w:ind w:firstLine="640" w:firstLineChars="200"/>
        <w:contextualSpacing/>
        <w:jc w:val="center"/>
        <w:rPr>
          <w:rFonts w:ascii="FangSong_GB2312" w:hAnsi="FangSong_GB2312" w:eastAsia="FangSong_GB2312"/>
          <w:sz w:val="32"/>
          <w:szCs w:val="32"/>
        </w:rPr>
      </w:pPr>
      <w:r>
        <w:rPr>
          <w:rFonts w:hint="eastAsia" w:ascii="FangSong_GB2312" w:hAnsi="FangSong_GB2312" w:eastAsia="FangSong_GB2312"/>
          <w:sz w:val="32"/>
          <w:szCs w:val="32"/>
        </w:rPr>
        <w:t>图</w:t>
      </w:r>
      <w:r>
        <w:rPr>
          <w:rFonts w:ascii="FangSong_GB2312" w:hAnsi="FangSong_GB2312" w:eastAsia="FangSong_GB2312"/>
          <w:sz w:val="32"/>
          <w:szCs w:val="32"/>
        </w:rPr>
        <w:t>3</w:t>
      </w:r>
      <w:r>
        <w:rPr>
          <w:rFonts w:hint="eastAsia" w:ascii="FangSong_GB2312" w:hAnsi="FangSong_GB2312" w:eastAsia="FangSong_GB2312"/>
          <w:sz w:val="32"/>
          <w:szCs w:val="32"/>
        </w:rPr>
        <w:t xml:space="preserve">  </w:t>
      </w:r>
      <w:r>
        <w:rPr>
          <w:rFonts w:ascii="FangSong_GB2312" w:hAnsi="FangSong_GB2312" w:eastAsia="FangSong_GB2312"/>
          <w:sz w:val="32"/>
          <w:szCs w:val="32"/>
        </w:rPr>
        <w:t>D</w:t>
      </w:r>
      <w:r>
        <w:rPr>
          <w:rFonts w:hint="eastAsia" w:ascii="FangSong_GB2312" w:hAnsi="FangSong_GB2312" w:eastAsia="FangSong_GB2312"/>
          <w:sz w:val="32"/>
          <w:szCs w:val="32"/>
        </w:rPr>
        <w:t>类兴奋剂检查站布局示意图</w:t>
      </w:r>
    </w:p>
    <w:p>
      <w:pPr>
        <w:spacing w:after="160" w:line="560" w:lineRule="exact"/>
        <w:ind w:firstLine="640" w:firstLineChars="200"/>
        <w:contextualSpacing/>
        <w:jc w:val="both"/>
        <w:rPr>
          <w:rFonts w:ascii="FangSong_GB2312" w:hAnsi="FangSong_GB2312" w:eastAsia="FangSong_GB2312"/>
          <w:sz w:val="32"/>
          <w:szCs w:val="32"/>
          <w:lang w:val="zh-CN"/>
        </w:rPr>
      </w:pPr>
      <w:r>
        <w:rPr>
          <w:rFonts w:hint="eastAsia" w:ascii="FangSong_GB2312" w:hAnsi="FangSong_GB2312" w:eastAsia="FangSong_GB2312"/>
          <w:sz w:val="32"/>
          <w:szCs w:val="32"/>
          <w:lang w:val="zh-CN"/>
        </w:rPr>
        <w:t>四</w:t>
      </w:r>
      <w:r>
        <w:rPr>
          <w:rFonts w:ascii="FangSong_GB2312" w:hAnsi="FangSong_GB2312" w:eastAsia="FangSong_GB2312"/>
          <w:sz w:val="32"/>
          <w:szCs w:val="32"/>
          <w:lang w:val="zh-CN"/>
        </w:rPr>
        <w:t>、兴奋剂检查站物资配备要求</w:t>
      </w:r>
    </w:p>
    <w:p>
      <w:pPr>
        <w:spacing w:after="160" w:line="560" w:lineRule="exact"/>
        <w:ind w:firstLine="640" w:firstLineChars="200"/>
        <w:contextualSpacing/>
        <w:jc w:val="both"/>
        <w:rPr>
          <w:rFonts w:ascii="FangSong_GB2312" w:hAnsi="FangSong_GB2312" w:eastAsia="FangSong_GB2312"/>
          <w:sz w:val="32"/>
          <w:szCs w:val="32"/>
        </w:rPr>
      </w:pPr>
      <w:r>
        <w:rPr>
          <w:rFonts w:ascii="FangSong_GB2312" w:hAnsi="FangSong_GB2312" w:eastAsia="FangSong_GB2312"/>
          <w:sz w:val="32"/>
          <w:szCs w:val="32"/>
        </w:rPr>
        <w:t>兴奋剂检查站工作物资分为专用物资和通用物资，专用物资由</w:t>
      </w:r>
      <w:r>
        <w:rPr>
          <w:rFonts w:hint="eastAsia" w:ascii="FangSong_GB2312" w:hAnsi="FangSong_GB2312" w:eastAsia="FangSong_GB2312"/>
          <w:sz w:val="32"/>
          <w:szCs w:val="32"/>
        </w:rPr>
        <w:t>中国反</w:t>
      </w:r>
      <w:r>
        <w:rPr>
          <w:rFonts w:ascii="FangSong_GB2312" w:hAnsi="FangSong_GB2312" w:eastAsia="FangSong_GB2312"/>
          <w:sz w:val="32"/>
          <w:szCs w:val="32"/>
        </w:rPr>
        <w:t>兴奋剂中心提供</w:t>
      </w:r>
      <w:r>
        <w:rPr>
          <w:rFonts w:hint="eastAsia" w:ascii="FangSong_GB2312" w:hAnsi="FangSong_GB2312" w:eastAsia="FangSong_GB2312"/>
          <w:sz w:val="32"/>
          <w:szCs w:val="32"/>
        </w:rPr>
        <w:t>或由组委会采购</w:t>
      </w:r>
      <w:r>
        <w:rPr>
          <w:rFonts w:ascii="FangSong_GB2312" w:hAnsi="FangSong_GB2312" w:eastAsia="FangSong_GB2312"/>
          <w:sz w:val="32"/>
          <w:szCs w:val="32"/>
        </w:rPr>
        <w:t>，通用物资由</w:t>
      </w:r>
      <w:r>
        <w:rPr>
          <w:rFonts w:hint="eastAsia" w:ascii="FangSong_GB2312" w:hAnsi="FangSong_GB2312" w:eastAsia="FangSong_GB2312"/>
          <w:sz w:val="32"/>
          <w:szCs w:val="32"/>
        </w:rPr>
        <w:t>组委会</w:t>
      </w:r>
      <w:r>
        <w:rPr>
          <w:rFonts w:ascii="FangSong_GB2312" w:hAnsi="FangSong_GB2312" w:eastAsia="FangSong_GB2312"/>
          <w:sz w:val="32"/>
          <w:szCs w:val="32"/>
        </w:rPr>
        <w:t>提供</w:t>
      </w:r>
      <w:r>
        <w:rPr>
          <w:rFonts w:hint="eastAsia" w:ascii="FangSong_GB2312" w:hAnsi="FangSong_GB2312" w:eastAsia="FangSong_GB2312"/>
          <w:sz w:val="32"/>
          <w:szCs w:val="32"/>
        </w:rPr>
        <w:t>，其中</w:t>
      </w:r>
      <w:r>
        <w:rPr>
          <w:rFonts w:ascii="FangSong_GB2312" w:hAnsi="FangSong_GB2312" w:eastAsia="FangSong_GB2312"/>
          <w:sz w:val="32"/>
          <w:szCs w:val="32"/>
        </w:rPr>
        <w:t>候检室、工作室</w:t>
      </w:r>
      <w:r>
        <w:rPr>
          <w:rFonts w:hint="eastAsia" w:ascii="FangSong_GB2312" w:hAnsi="FangSong_GB2312" w:eastAsia="FangSong_GB2312"/>
          <w:sz w:val="32"/>
          <w:szCs w:val="32"/>
        </w:rPr>
        <w:t>（操作间和</w:t>
      </w:r>
      <w:r>
        <w:rPr>
          <w:rFonts w:ascii="FangSong_GB2312" w:hAnsi="FangSong_GB2312" w:eastAsia="FangSong_GB2312"/>
          <w:sz w:val="32"/>
          <w:szCs w:val="32"/>
        </w:rPr>
        <w:t>卫生间</w:t>
      </w:r>
      <w:r>
        <w:rPr>
          <w:rFonts w:hint="eastAsia" w:ascii="FangSong_GB2312" w:hAnsi="FangSong_GB2312" w:eastAsia="FangSong_GB2312"/>
          <w:sz w:val="32"/>
          <w:szCs w:val="32"/>
        </w:rPr>
        <w:t>）</w:t>
      </w:r>
      <w:r>
        <w:rPr>
          <w:rFonts w:ascii="FangSong_GB2312" w:hAnsi="FangSong_GB2312" w:eastAsia="FangSong_GB2312"/>
          <w:sz w:val="32"/>
          <w:szCs w:val="32"/>
        </w:rPr>
        <w:t>内的通用物资</w:t>
      </w:r>
      <w:r>
        <w:rPr>
          <w:rFonts w:hint="eastAsia" w:ascii="FangSong_GB2312" w:hAnsi="FangSong_GB2312" w:eastAsia="FangSong_GB2312"/>
          <w:sz w:val="32"/>
          <w:szCs w:val="32"/>
        </w:rPr>
        <w:t>为</w:t>
      </w:r>
      <w:r>
        <w:rPr>
          <w:rFonts w:ascii="FangSong_GB2312" w:hAnsi="FangSong_GB2312" w:eastAsia="FangSong_GB2312"/>
          <w:sz w:val="32"/>
          <w:szCs w:val="32"/>
        </w:rPr>
        <w:t>强制要求</w:t>
      </w:r>
      <w:r>
        <w:rPr>
          <w:rFonts w:hint="eastAsia" w:ascii="FangSong_GB2312" w:hAnsi="FangSong_GB2312" w:eastAsia="FangSong_GB2312"/>
          <w:sz w:val="32"/>
          <w:szCs w:val="32"/>
        </w:rPr>
        <w:t>。</w:t>
      </w:r>
    </w:p>
    <w:p>
      <w:pPr>
        <w:spacing w:after="160"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（一）通用物资清单</w:t>
      </w:r>
    </w:p>
    <w:tbl>
      <w:tblPr>
        <w:tblStyle w:val="7"/>
        <w:tblW w:w="8504" w:type="dxa"/>
        <w:jc w:val="center"/>
        <w:tblLayout w:type="fixed"/>
        <w:tblCellMar>
          <w:top w:w="0" w:type="dxa"/>
          <w:left w:w="108" w:type="dxa"/>
          <w:bottom w:w="0" w:type="dxa"/>
          <w:right w:w="108" w:type="dxa"/>
        </w:tblCellMar>
      </w:tblPr>
      <w:tblGrid>
        <w:gridCol w:w="1418"/>
        <w:gridCol w:w="1948"/>
        <w:gridCol w:w="3720"/>
        <w:gridCol w:w="1418"/>
      </w:tblGrid>
      <w:tr>
        <w:tblPrEx>
          <w:tblCellMar>
            <w:top w:w="0" w:type="dxa"/>
            <w:left w:w="108" w:type="dxa"/>
            <w:bottom w:w="0" w:type="dxa"/>
            <w:right w:w="108" w:type="dxa"/>
          </w:tblCellMar>
        </w:tblPrEx>
        <w:trPr>
          <w:trHeight w:val="681" w:hRule="atLeast"/>
          <w:jc w:val="center"/>
        </w:trPr>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
              <w:tabs>
                <w:tab w:val="left" w:pos="2340"/>
                <w:tab w:val="left" w:pos="4320"/>
              </w:tabs>
              <w:spacing w:line="560" w:lineRule="exact"/>
              <w:contextualSpacing/>
              <w:jc w:val="center"/>
              <w:rPr>
                <w:rFonts w:ascii="FangSong_GB2312" w:hAnsi="FangSong_GB2312" w:eastAsia="FangSong_GB2312" w:cs="仿宋"/>
                <w:sz w:val="28"/>
                <w:szCs w:val="28"/>
              </w:rPr>
            </w:pPr>
            <w:r>
              <w:rPr>
                <w:rFonts w:hint="eastAsia" w:ascii="FangSong_GB2312" w:hAnsi="FangSong_GB2312" w:eastAsia="FangSong_GB2312" w:cs="仿宋"/>
                <w:sz w:val="28"/>
                <w:szCs w:val="28"/>
              </w:rPr>
              <w:t>房间</w:t>
            </w:r>
          </w:p>
        </w:tc>
        <w:tc>
          <w:tcPr>
            <w:tcW w:w="194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
                <w:bCs/>
                <w:sz w:val="28"/>
                <w:szCs w:val="28"/>
              </w:rPr>
            </w:pPr>
            <w:r>
              <w:rPr>
                <w:rFonts w:hint="eastAsia" w:ascii="FangSong_GB2312" w:hAnsi="FangSong_GB2312" w:eastAsia="FangSong_GB2312" w:cs="仿宋"/>
                <w:b/>
                <w:bCs/>
                <w:sz w:val="28"/>
                <w:szCs w:val="28"/>
              </w:rPr>
              <w:t>类型</w:t>
            </w: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
                <w:bCs/>
                <w:sz w:val="28"/>
                <w:szCs w:val="28"/>
              </w:rPr>
            </w:pPr>
            <w:r>
              <w:rPr>
                <w:rFonts w:hint="eastAsia" w:ascii="FangSong_GB2312" w:hAnsi="FangSong_GB2312" w:eastAsia="FangSong_GB2312" w:cs="仿宋"/>
                <w:b/>
                <w:bCs/>
                <w:sz w:val="28"/>
                <w:szCs w:val="28"/>
              </w:rPr>
              <w:t>物资名称</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
                <w:bCs/>
                <w:sz w:val="28"/>
                <w:szCs w:val="28"/>
              </w:rPr>
            </w:pPr>
            <w:r>
              <w:rPr>
                <w:rFonts w:hint="eastAsia" w:ascii="FangSong_GB2312" w:hAnsi="FangSong_GB2312" w:eastAsia="FangSong_GB2312" w:cs="仿宋"/>
                <w:b/>
                <w:bCs/>
                <w:sz w:val="28"/>
                <w:szCs w:val="28"/>
              </w:rPr>
              <w:t>数量</w:t>
            </w:r>
          </w:p>
        </w:tc>
      </w:tr>
      <w:tr>
        <w:tblPrEx>
          <w:tblCellMar>
            <w:top w:w="0" w:type="dxa"/>
            <w:left w:w="108" w:type="dxa"/>
            <w:bottom w:w="0" w:type="dxa"/>
            <w:right w:w="108" w:type="dxa"/>
          </w:tblCellMar>
        </w:tblPrEx>
        <w:trPr>
          <w:trHeight w:val="300" w:hRule="atLeast"/>
          <w:jc w:val="center"/>
        </w:trPr>
        <w:tc>
          <w:tcPr>
            <w:tcW w:w="1418" w:type="dxa"/>
            <w:vMerge w:val="restart"/>
            <w:tcBorders>
              <w:top w:val="single" w:color="auto" w:sz="4" w:space="0"/>
              <w:left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候检室</w:t>
            </w:r>
          </w:p>
        </w:tc>
        <w:tc>
          <w:tcPr>
            <w:tcW w:w="194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家具</w:t>
            </w:r>
            <w:r>
              <w:rPr>
                <w:rFonts w:ascii="FangSong_GB2312" w:hAnsi="FangSong_GB2312" w:eastAsia="FangSong_GB2312" w:cs="仿宋"/>
                <w:bCs/>
              </w:rPr>
              <w:t>/家电</w:t>
            </w: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电视机（接有实时赛事信号）</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1</w:t>
            </w:r>
          </w:p>
        </w:tc>
      </w:tr>
      <w:tr>
        <w:tblPrEx>
          <w:tblCellMar>
            <w:top w:w="0" w:type="dxa"/>
            <w:left w:w="108" w:type="dxa"/>
            <w:bottom w:w="0" w:type="dxa"/>
            <w:right w:w="108" w:type="dxa"/>
          </w:tblCellMar>
        </w:tblPrEx>
        <w:trPr>
          <w:trHeight w:val="300" w:hRule="atLeast"/>
          <w:jc w:val="center"/>
        </w:trPr>
        <w:tc>
          <w:tcPr>
            <w:tcW w:w="1418" w:type="dxa"/>
            <w:vMerge w:val="continue"/>
            <w:tcBorders>
              <w:left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办公桌（带锁）</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1</w:t>
            </w:r>
          </w:p>
        </w:tc>
      </w:tr>
      <w:tr>
        <w:tblPrEx>
          <w:tblCellMar>
            <w:top w:w="0" w:type="dxa"/>
            <w:left w:w="108" w:type="dxa"/>
            <w:bottom w:w="0" w:type="dxa"/>
            <w:right w:w="108" w:type="dxa"/>
          </w:tblCellMar>
        </w:tblPrEx>
        <w:trPr>
          <w:trHeight w:val="300" w:hRule="atLeast"/>
          <w:jc w:val="center"/>
        </w:trPr>
        <w:tc>
          <w:tcPr>
            <w:tcW w:w="1418" w:type="dxa"/>
            <w:vMerge w:val="continue"/>
            <w:tcBorders>
              <w:left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挂钟</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1</w:t>
            </w:r>
          </w:p>
        </w:tc>
      </w:tr>
      <w:tr>
        <w:tblPrEx>
          <w:tblCellMar>
            <w:top w:w="0" w:type="dxa"/>
            <w:left w:w="108" w:type="dxa"/>
            <w:bottom w:w="0" w:type="dxa"/>
            <w:right w:w="108" w:type="dxa"/>
          </w:tblCellMar>
        </w:tblPrEx>
        <w:trPr>
          <w:trHeight w:val="300" w:hRule="atLeast"/>
          <w:jc w:val="center"/>
        </w:trPr>
        <w:tc>
          <w:tcPr>
            <w:tcW w:w="1418" w:type="dxa"/>
            <w:vMerge w:val="continue"/>
            <w:tcBorders>
              <w:left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座椅</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u w:val="wave"/>
              </w:rPr>
            </w:pPr>
            <w:r>
              <w:rPr>
                <w:rFonts w:hint="eastAsia" w:ascii="FangSong_GB2312" w:hAnsi="FangSong_GB2312" w:eastAsia="FangSong_GB2312" w:cs="仿宋"/>
                <w:bCs/>
                <w:u w:val="wave"/>
              </w:rPr>
              <w:t xml:space="preserve">依需要确定 </w:t>
            </w:r>
          </w:p>
        </w:tc>
      </w:tr>
      <w:tr>
        <w:tblPrEx>
          <w:tblCellMar>
            <w:top w:w="0" w:type="dxa"/>
            <w:left w:w="108" w:type="dxa"/>
            <w:bottom w:w="0" w:type="dxa"/>
            <w:right w:w="108" w:type="dxa"/>
          </w:tblCellMar>
        </w:tblPrEx>
        <w:trPr>
          <w:trHeight w:val="300" w:hRule="atLeast"/>
          <w:jc w:val="center"/>
        </w:trPr>
        <w:tc>
          <w:tcPr>
            <w:tcW w:w="1418" w:type="dxa"/>
            <w:vMerge w:val="continue"/>
            <w:tcBorders>
              <w:left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工作桌</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2</w:t>
            </w:r>
          </w:p>
        </w:tc>
      </w:tr>
      <w:tr>
        <w:tblPrEx>
          <w:tblCellMar>
            <w:top w:w="0" w:type="dxa"/>
            <w:left w:w="108" w:type="dxa"/>
            <w:bottom w:w="0" w:type="dxa"/>
            <w:right w:w="108" w:type="dxa"/>
          </w:tblCellMar>
        </w:tblPrEx>
        <w:trPr>
          <w:trHeight w:val="300" w:hRule="atLeast"/>
          <w:jc w:val="center"/>
        </w:trPr>
        <w:tc>
          <w:tcPr>
            <w:tcW w:w="1418" w:type="dxa"/>
            <w:vMerge w:val="continue"/>
            <w:tcBorders>
              <w:left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推柜（带锁）</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1</w:t>
            </w:r>
          </w:p>
        </w:tc>
      </w:tr>
      <w:tr>
        <w:tblPrEx>
          <w:tblCellMar>
            <w:top w:w="0" w:type="dxa"/>
            <w:left w:w="108" w:type="dxa"/>
            <w:bottom w:w="0" w:type="dxa"/>
            <w:right w:w="108" w:type="dxa"/>
          </w:tblCellMar>
        </w:tblPrEx>
        <w:trPr>
          <w:trHeight w:val="300" w:hRule="atLeast"/>
          <w:jc w:val="center"/>
        </w:trPr>
        <w:tc>
          <w:tcPr>
            <w:tcW w:w="1418" w:type="dxa"/>
            <w:vMerge w:val="continue"/>
            <w:tcBorders>
              <w:left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饮料冰箱</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1</w:t>
            </w:r>
          </w:p>
        </w:tc>
      </w:tr>
      <w:tr>
        <w:tblPrEx>
          <w:tblCellMar>
            <w:top w:w="0" w:type="dxa"/>
            <w:left w:w="108" w:type="dxa"/>
            <w:bottom w:w="0" w:type="dxa"/>
            <w:right w:w="108" w:type="dxa"/>
          </w:tblCellMar>
        </w:tblPrEx>
        <w:trPr>
          <w:trHeight w:val="401" w:hRule="atLeast"/>
          <w:jc w:val="center"/>
        </w:trPr>
        <w:tc>
          <w:tcPr>
            <w:tcW w:w="1418" w:type="dxa"/>
            <w:vMerge w:val="continue"/>
            <w:tcBorders>
              <w:left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垃圾箱（大型）</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1</w:t>
            </w:r>
          </w:p>
        </w:tc>
      </w:tr>
      <w:tr>
        <w:tblPrEx>
          <w:tblCellMar>
            <w:top w:w="0" w:type="dxa"/>
            <w:left w:w="108" w:type="dxa"/>
            <w:bottom w:w="0" w:type="dxa"/>
            <w:right w:w="108" w:type="dxa"/>
          </w:tblCellMar>
        </w:tblPrEx>
        <w:trPr>
          <w:trHeight w:val="401" w:hRule="atLeast"/>
          <w:jc w:val="center"/>
        </w:trPr>
        <w:tc>
          <w:tcPr>
            <w:tcW w:w="1418" w:type="dxa"/>
            <w:vMerge w:val="continue"/>
            <w:tcBorders>
              <w:left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194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饮料</w:t>
            </w: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具体要求见本节第（二）部分</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u w:val="wave"/>
              </w:rPr>
              <w:t>依需要确定</w:t>
            </w:r>
          </w:p>
        </w:tc>
      </w:tr>
      <w:tr>
        <w:tblPrEx>
          <w:tblCellMar>
            <w:top w:w="0" w:type="dxa"/>
            <w:left w:w="108" w:type="dxa"/>
            <w:bottom w:w="0" w:type="dxa"/>
            <w:right w:w="108" w:type="dxa"/>
          </w:tblCellMar>
        </w:tblPrEx>
        <w:trPr>
          <w:trHeight w:val="401" w:hRule="atLeast"/>
          <w:jc w:val="center"/>
        </w:trPr>
        <w:tc>
          <w:tcPr>
            <w:tcW w:w="1418" w:type="dxa"/>
            <w:vMerge w:val="continue"/>
            <w:tcBorders>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194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标牌/桌签</w:t>
            </w: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具体要求见本节第（三）部分</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u w:val="wave"/>
              </w:rPr>
            </w:pPr>
            <w:r>
              <w:rPr>
                <w:rFonts w:hint="eastAsia" w:ascii="FangSong_GB2312" w:hAnsi="FangSong_GB2312" w:eastAsia="FangSong_GB2312" w:cs="仿宋"/>
                <w:bCs/>
                <w:u w:val="wave"/>
              </w:rPr>
              <w:t>依需要确定</w:t>
            </w:r>
          </w:p>
        </w:tc>
      </w:tr>
      <w:tr>
        <w:tblPrEx>
          <w:tblCellMar>
            <w:top w:w="0" w:type="dxa"/>
            <w:left w:w="108" w:type="dxa"/>
            <w:bottom w:w="0" w:type="dxa"/>
            <w:right w:w="108" w:type="dxa"/>
          </w:tblCellMar>
        </w:tblPrEx>
        <w:trPr>
          <w:trHeight w:val="300" w:hRule="atLeast"/>
          <w:jc w:val="center"/>
        </w:trPr>
        <w:tc>
          <w:tcPr>
            <w:tcW w:w="1418" w:type="dxa"/>
            <w:vMerge w:val="restart"/>
            <w:tcBorders>
              <w:top w:val="single" w:color="auto" w:sz="4" w:space="0"/>
              <w:left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操作间</w:t>
            </w:r>
          </w:p>
        </w:tc>
        <w:tc>
          <w:tcPr>
            <w:tcW w:w="194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家具</w:t>
            </w:r>
            <w:r>
              <w:rPr>
                <w:rFonts w:ascii="FangSong_GB2312" w:hAnsi="FangSong_GB2312" w:eastAsia="FangSong_GB2312" w:cs="仿宋"/>
                <w:bCs/>
              </w:rPr>
              <w:t>/家电</w:t>
            </w: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文件柜（带锁）</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 xml:space="preserve">1 </w:t>
            </w:r>
          </w:p>
        </w:tc>
      </w:tr>
      <w:tr>
        <w:tblPrEx>
          <w:tblCellMar>
            <w:top w:w="0" w:type="dxa"/>
            <w:left w:w="108" w:type="dxa"/>
            <w:bottom w:w="0" w:type="dxa"/>
            <w:right w:w="108" w:type="dxa"/>
          </w:tblCellMar>
        </w:tblPrEx>
        <w:trPr>
          <w:trHeight w:val="300" w:hRule="atLeast"/>
          <w:jc w:val="center"/>
        </w:trPr>
        <w:tc>
          <w:tcPr>
            <w:tcW w:w="1418" w:type="dxa"/>
            <w:vMerge w:val="continue"/>
            <w:tcBorders>
              <w:left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座椅</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 xml:space="preserve">6 </w:t>
            </w:r>
          </w:p>
        </w:tc>
      </w:tr>
      <w:tr>
        <w:tblPrEx>
          <w:tblCellMar>
            <w:top w:w="0" w:type="dxa"/>
            <w:left w:w="108" w:type="dxa"/>
            <w:bottom w:w="0" w:type="dxa"/>
            <w:right w:w="108" w:type="dxa"/>
          </w:tblCellMar>
        </w:tblPrEx>
        <w:trPr>
          <w:trHeight w:val="300" w:hRule="atLeast"/>
          <w:jc w:val="center"/>
        </w:trPr>
        <w:tc>
          <w:tcPr>
            <w:tcW w:w="1418" w:type="dxa"/>
            <w:vMerge w:val="continue"/>
            <w:tcBorders>
              <w:left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工作桌</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 xml:space="preserve">1 </w:t>
            </w:r>
          </w:p>
        </w:tc>
      </w:tr>
      <w:tr>
        <w:tblPrEx>
          <w:tblCellMar>
            <w:top w:w="0" w:type="dxa"/>
            <w:left w:w="108" w:type="dxa"/>
            <w:bottom w:w="0" w:type="dxa"/>
            <w:right w:w="108" w:type="dxa"/>
          </w:tblCellMar>
        </w:tblPrEx>
        <w:trPr>
          <w:trHeight w:val="300" w:hRule="atLeast"/>
          <w:jc w:val="center"/>
        </w:trPr>
        <w:tc>
          <w:tcPr>
            <w:tcW w:w="1418" w:type="dxa"/>
            <w:vMerge w:val="continue"/>
            <w:tcBorders>
              <w:left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电冰箱（带锁）</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 xml:space="preserve">1 </w:t>
            </w:r>
          </w:p>
        </w:tc>
      </w:tr>
      <w:tr>
        <w:tblPrEx>
          <w:tblCellMar>
            <w:top w:w="0" w:type="dxa"/>
            <w:left w:w="108" w:type="dxa"/>
            <w:bottom w:w="0" w:type="dxa"/>
            <w:right w:w="108" w:type="dxa"/>
          </w:tblCellMar>
        </w:tblPrEx>
        <w:trPr>
          <w:trHeight w:val="300" w:hRule="atLeast"/>
          <w:jc w:val="center"/>
        </w:trPr>
        <w:tc>
          <w:tcPr>
            <w:tcW w:w="1418" w:type="dxa"/>
            <w:vMerge w:val="continue"/>
            <w:tcBorders>
              <w:left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垃圾箱</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1</w:t>
            </w:r>
          </w:p>
        </w:tc>
      </w:tr>
      <w:tr>
        <w:tblPrEx>
          <w:tblCellMar>
            <w:top w:w="0" w:type="dxa"/>
            <w:left w:w="108" w:type="dxa"/>
            <w:bottom w:w="0" w:type="dxa"/>
            <w:right w:w="108" w:type="dxa"/>
          </w:tblCellMar>
        </w:tblPrEx>
        <w:trPr>
          <w:trHeight w:val="300" w:hRule="atLeast"/>
          <w:jc w:val="center"/>
        </w:trPr>
        <w:tc>
          <w:tcPr>
            <w:tcW w:w="1418" w:type="dxa"/>
            <w:vMerge w:val="continue"/>
            <w:tcBorders>
              <w:left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挂钟</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1</w:t>
            </w:r>
          </w:p>
        </w:tc>
      </w:tr>
      <w:tr>
        <w:tblPrEx>
          <w:tblCellMar>
            <w:top w:w="0" w:type="dxa"/>
            <w:left w:w="108" w:type="dxa"/>
            <w:bottom w:w="0" w:type="dxa"/>
            <w:right w:w="108" w:type="dxa"/>
          </w:tblCellMar>
        </w:tblPrEx>
        <w:trPr>
          <w:trHeight w:val="300" w:hRule="atLeast"/>
          <w:jc w:val="center"/>
        </w:trPr>
        <w:tc>
          <w:tcPr>
            <w:tcW w:w="1418" w:type="dxa"/>
            <w:vMerge w:val="continue"/>
            <w:tcBorders>
              <w:left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医疗垃圾箱 *</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1</w:t>
            </w:r>
          </w:p>
        </w:tc>
      </w:tr>
      <w:tr>
        <w:tblPrEx>
          <w:tblCellMar>
            <w:top w:w="0" w:type="dxa"/>
            <w:left w:w="108" w:type="dxa"/>
            <w:bottom w:w="0" w:type="dxa"/>
            <w:right w:w="108" w:type="dxa"/>
          </w:tblCellMar>
        </w:tblPrEx>
        <w:trPr>
          <w:trHeight w:val="300" w:hRule="atLeast"/>
          <w:jc w:val="center"/>
        </w:trPr>
        <w:tc>
          <w:tcPr>
            <w:tcW w:w="1418" w:type="dxa"/>
            <w:vMerge w:val="continue"/>
            <w:tcBorders>
              <w:left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床/躺椅 *</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1</w:t>
            </w:r>
          </w:p>
        </w:tc>
      </w:tr>
      <w:tr>
        <w:tblPrEx>
          <w:tblCellMar>
            <w:top w:w="0" w:type="dxa"/>
            <w:left w:w="108" w:type="dxa"/>
            <w:bottom w:w="0" w:type="dxa"/>
            <w:right w:w="108" w:type="dxa"/>
          </w:tblCellMar>
        </w:tblPrEx>
        <w:trPr>
          <w:trHeight w:val="300" w:hRule="atLeast"/>
          <w:jc w:val="center"/>
        </w:trPr>
        <w:tc>
          <w:tcPr>
            <w:tcW w:w="1418" w:type="dxa"/>
            <w:vMerge w:val="continue"/>
            <w:tcBorders>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194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标牌/桌签</w:t>
            </w: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具体要求见本节第（三）部分</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u w:val="wave"/>
              </w:rPr>
              <w:t>依需要确定</w:t>
            </w:r>
          </w:p>
        </w:tc>
      </w:tr>
      <w:tr>
        <w:tblPrEx>
          <w:tblCellMar>
            <w:top w:w="0" w:type="dxa"/>
            <w:left w:w="108" w:type="dxa"/>
            <w:bottom w:w="0" w:type="dxa"/>
            <w:right w:w="108" w:type="dxa"/>
          </w:tblCellMar>
        </w:tblPrEx>
        <w:trPr>
          <w:trHeight w:val="300" w:hRule="atLeast"/>
          <w:jc w:val="center"/>
        </w:trPr>
        <w:tc>
          <w:tcPr>
            <w:tcW w:w="141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卫生间</w:t>
            </w:r>
          </w:p>
        </w:tc>
        <w:tc>
          <w:tcPr>
            <w:tcW w:w="194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家具</w:t>
            </w:r>
            <w:r>
              <w:rPr>
                <w:rFonts w:ascii="FangSong_GB2312" w:hAnsi="FangSong_GB2312" w:eastAsia="FangSong_GB2312" w:cs="仿宋"/>
                <w:bCs/>
              </w:rPr>
              <w:t>/家电</w:t>
            </w: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rPr>
              <w:t>坐便器/蹲便器**</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1</w:t>
            </w:r>
          </w:p>
        </w:tc>
      </w:tr>
      <w:tr>
        <w:tblPrEx>
          <w:tblCellMar>
            <w:top w:w="0" w:type="dxa"/>
            <w:left w:w="108" w:type="dxa"/>
            <w:bottom w:w="0" w:type="dxa"/>
            <w:right w:w="108" w:type="dxa"/>
          </w:tblCellMar>
        </w:tblPrEx>
        <w:trPr>
          <w:trHeight w:val="300" w:hRule="atLeast"/>
          <w:jc w:val="center"/>
        </w:trPr>
        <w:tc>
          <w:tcPr>
            <w:tcW w:w="141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rPr>
              <w:t>洗手池</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1</w:t>
            </w:r>
          </w:p>
        </w:tc>
      </w:tr>
      <w:tr>
        <w:tblPrEx>
          <w:tblCellMar>
            <w:top w:w="0" w:type="dxa"/>
            <w:left w:w="108" w:type="dxa"/>
            <w:bottom w:w="0" w:type="dxa"/>
            <w:right w:w="108" w:type="dxa"/>
          </w:tblCellMar>
        </w:tblPrEx>
        <w:trPr>
          <w:trHeight w:val="300" w:hRule="atLeast"/>
          <w:jc w:val="center"/>
        </w:trPr>
        <w:tc>
          <w:tcPr>
            <w:tcW w:w="141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rPr>
              <w:t>置物台</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1</w:t>
            </w:r>
          </w:p>
        </w:tc>
      </w:tr>
      <w:tr>
        <w:tblPrEx>
          <w:tblCellMar>
            <w:top w:w="0" w:type="dxa"/>
            <w:left w:w="108" w:type="dxa"/>
            <w:bottom w:w="0" w:type="dxa"/>
            <w:right w:w="108" w:type="dxa"/>
          </w:tblCellMar>
        </w:tblPrEx>
        <w:trPr>
          <w:trHeight w:val="300" w:hRule="atLeast"/>
          <w:jc w:val="center"/>
        </w:trPr>
        <w:tc>
          <w:tcPr>
            <w:tcW w:w="141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三面镜子</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1</w:t>
            </w:r>
          </w:p>
        </w:tc>
      </w:tr>
      <w:tr>
        <w:tblPrEx>
          <w:tblCellMar>
            <w:top w:w="0" w:type="dxa"/>
            <w:left w:w="108" w:type="dxa"/>
            <w:bottom w:w="0" w:type="dxa"/>
            <w:right w:w="108" w:type="dxa"/>
          </w:tblCellMar>
        </w:tblPrEx>
        <w:trPr>
          <w:trHeight w:val="300" w:hRule="atLeast"/>
          <w:jc w:val="center"/>
        </w:trPr>
        <w:tc>
          <w:tcPr>
            <w:tcW w:w="141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ind w:firstLine="240" w:firstLineChars="100"/>
              <w:contextualSpacing/>
              <w:rPr>
                <w:rFonts w:ascii="FangSong_GB2312" w:hAnsi="FangSong_GB2312" w:eastAsia="FangSong_GB2312" w:cs="仿宋"/>
                <w:bCs/>
              </w:rPr>
            </w:pPr>
            <w:r>
              <w:rPr>
                <w:rFonts w:hint="eastAsia" w:ascii="FangSong_GB2312" w:hAnsi="FangSong_GB2312" w:eastAsia="FangSong_GB2312" w:cs="仿宋"/>
                <w:bCs/>
              </w:rPr>
              <w:t>办公室</w:t>
            </w:r>
          </w:p>
        </w:tc>
        <w:tc>
          <w:tcPr>
            <w:tcW w:w="194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家具</w:t>
            </w:r>
            <w:r>
              <w:rPr>
                <w:rFonts w:ascii="FangSong_GB2312" w:hAnsi="FangSong_GB2312" w:eastAsia="FangSong_GB2312" w:cs="仿宋"/>
                <w:bCs/>
              </w:rPr>
              <w:t>/家电</w:t>
            </w: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办公桌</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1</w:t>
            </w:r>
          </w:p>
        </w:tc>
      </w:tr>
      <w:tr>
        <w:tblPrEx>
          <w:tblCellMar>
            <w:top w:w="0" w:type="dxa"/>
            <w:left w:w="108" w:type="dxa"/>
            <w:bottom w:w="0" w:type="dxa"/>
            <w:right w:w="108" w:type="dxa"/>
          </w:tblCellMar>
        </w:tblPrEx>
        <w:trPr>
          <w:trHeight w:val="300" w:hRule="atLeast"/>
          <w:jc w:val="center"/>
        </w:trPr>
        <w:tc>
          <w:tcPr>
            <w:tcW w:w="141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座椅</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u w:val="wave"/>
              </w:rPr>
            </w:pPr>
            <w:r>
              <w:rPr>
                <w:rFonts w:hint="eastAsia" w:ascii="FangSong_GB2312" w:hAnsi="FangSong_GB2312" w:eastAsia="FangSong_GB2312" w:cs="仿宋"/>
                <w:bCs/>
                <w:u w:val="wave"/>
              </w:rPr>
              <w:t>依需要确定</w:t>
            </w:r>
          </w:p>
        </w:tc>
      </w:tr>
      <w:tr>
        <w:tblPrEx>
          <w:tblCellMar>
            <w:top w:w="0" w:type="dxa"/>
            <w:left w:w="108" w:type="dxa"/>
            <w:bottom w:w="0" w:type="dxa"/>
            <w:right w:w="108" w:type="dxa"/>
          </w:tblCellMar>
        </w:tblPrEx>
        <w:trPr>
          <w:trHeight w:val="300" w:hRule="atLeast"/>
          <w:jc w:val="center"/>
        </w:trPr>
        <w:tc>
          <w:tcPr>
            <w:tcW w:w="141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铁皮柜</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1</w:t>
            </w:r>
          </w:p>
        </w:tc>
      </w:tr>
      <w:tr>
        <w:tblPrEx>
          <w:tblCellMar>
            <w:top w:w="0" w:type="dxa"/>
            <w:left w:w="108" w:type="dxa"/>
            <w:bottom w:w="0" w:type="dxa"/>
            <w:right w:w="108" w:type="dxa"/>
          </w:tblCellMar>
        </w:tblPrEx>
        <w:trPr>
          <w:trHeight w:val="300" w:hRule="atLeast"/>
          <w:jc w:val="center"/>
        </w:trPr>
        <w:tc>
          <w:tcPr>
            <w:tcW w:w="141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194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技术设备</w:t>
            </w: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电脑（联网）</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1</w:t>
            </w:r>
          </w:p>
        </w:tc>
      </w:tr>
      <w:tr>
        <w:tblPrEx>
          <w:tblCellMar>
            <w:top w:w="0" w:type="dxa"/>
            <w:left w:w="108" w:type="dxa"/>
            <w:bottom w:w="0" w:type="dxa"/>
            <w:right w:w="108" w:type="dxa"/>
          </w:tblCellMar>
        </w:tblPrEx>
        <w:trPr>
          <w:trHeight w:val="300" w:hRule="atLeast"/>
          <w:jc w:val="center"/>
        </w:trPr>
        <w:tc>
          <w:tcPr>
            <w:tcW w:w="141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打印机</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1</w:t>
            </w:r>
          </w:p>
        </w:tc>
      </w:tr>
      <w:tr>
        <w:tblPrEx>
          <w:tblCellMar>
            <w:top w:w="0" w:type="dxa"/>
            <w:left w:w="108" w:type="dxa"/>
            <w:bottom w:w="0" w:type="dxa"/>
            <w:right w:w="108" w:type="dxa"/>
          </w:tblCellMar>
        </w:tblPrEx>
        <w:trPr>
          <w:trHeight w:val="300" w:hRule="atLeast"/>
          <w:jc w:val="center"/>
        </w:trPr>
        <w:tc>
          <w:tcPr>
            <w:tcW w:w="141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对讲机</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u w:val="wave"/>
              </w:rPr>
            </w:pPr>
            <w:r>
              <w:rPr>
                <w:rFonts w:hint="eastAsia" w:ascii="FangSong_GB2312" w:hAnsi="FangSong_GB2312" w:eastAsia="FangSong_GB2312" w:cs="仿宋"/>
                <w:bCs/>
                <w:u w:val="wave"/>
              </w:rPr>
              <w:t>依需要确定</w:t>
            </w:r>
          </w:p>
        </w:tc>
      </w:tr>
      <w:tr>
        <w:tblPrEx>
          <w:tblCellMar>
            <w:top w:w="0" w:type="dxa"/>
            <w:left w:w="108" w:type="dxa"/>
            <w:bottom w:w="0" w:type="dxa"/>
            <w:right w:w="108" w:type="dxa"/>
          </w:tblCellMar>
        </w:tblPrEx>
        <w:trPr>
          <w:trHeight w:val="300" w:hRule="atLeast"/>
          <w:jc w:val="center"/>
        </w:trPr>
        <w:tc>
          <w:tcPr>
            <w:tcW w:w="141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电话</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1</w:t>
            </w:r>
          </w:p>
        </w:tc>
      </w:tr>
      <w:tr>
        <w:tblPrEx>
          <w:tblCellMar>
            <w:top w:w="0" w:type="dxa"/>
            <w:left w:w="108" w:type="dxa"/>
            <w:bottom w:w="0" w:type="dxa"/>
            <w:right w:w="108" w:type="dxa"/>
          </w:tblCellMar>
        </w:tblPrEx>
        <w:trPr>
          <w:trHeight w:val="300" w:hRule="atLeast"/>
          <w:jc w:val="center"/>
        </w:trPr>
        <w:tc>
          <w:tcPr>
            <w:tcW w:w="141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19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rPr>
                <w:rFonts w:ascii="FangSong_GB2312" w:hAnsi="FangSong_GB2312" w:eastAsia="FangSong_GB2312" w:cs="仿宋"/>
                <w:bCs/>
              </w:rPr>
            </w:pP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传真机</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ascii="FangSong_GB2312" w:hAnsi="FangSong_GB2312" w:eastAsia="FangSong_GB2312" w:cs="仿宋"/>
                <w:bCs/>
              </w:rPr>
              <w:t>1</w:t>
            </w:r>
          </w:p>
        </w:tc>
      </w:tr>
      <w:tr>
        <w:tblPrEx>
          <w:tblCellMar>
            <w:top w:w="0" w:type="dxa"/>
            <w:left w:w="108" w:type="dxa"/>
            <w:bottom w:w="0" w:type="dxa"/>
            <w:right w:w="108" w:type="dxa"/>
          </w:tblCellMar>
        </w:tblPrEx>
        <w:trPr>
          <w:trHeight w:val="562" w:hRule="atLeast"/>
          <w:jc w:val="center"/>
        </w:trPr>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Cs/>
              </w:rPr>
            </w:pPr>
            <w:r>
              <w:rPr>
                <w:rFonts w:hint="eastAsia" w:ascii="FangSong_GB2312" w:hAnsi="FangSong_GB2312" w:eastAsia="FangSong_GB2312" w:cs="仿宋"/>
                <w:bCs/>
              </w:rPr>
              <w:t>储藏室</w:t>
            </w:r>
          </w:p>
        </w:tc>
        <w:tc>
          <w:tcPr>
            <w:tcW w:w="194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
                <w:bCs/>
              </w:rPr>
            </w:pPr>
            <w:r>
              <w:rPr>
                <w:rFonts w:hint="eastAsia" w:ascii="FangSong_GB2312" w:hAnsi="FangSong_GB2312" w:eastAsia="FangSong_GB2312" w:cs="仿宋"/>
                <w:bCs/>
              </w:rPr>
              <w:t>家具</w:t>
            </w:r>
          </w:p>
        </w:tc>
        <w:tc>
          <w:tcPr>
            <w:tcW w:w="3720"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rPr>
            </w:pPr>
            <w:r>
              <w:rPr>
                <w:rFonts w:hint="eastAsia" w:ascii="FangSong_GB2312" w:hAnsi="FangSong_GB2312" w:eastAsia="FangSong_GB2312" w:cs="仿宋"/>
                <w:bCs/>
              </w:rPr>
              <w:t>衣架、储物柜等</w:t>
            </w:r>
          </w:p>
        </w:tc>
        <w:tc>
          <w:tcPr>
            <w:tcW w:w="1418"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560" w:lineRule="exact"/>
              <w:contextualSpacing/>
              <w:jc w:val="center"/>
              <w:rPr>
                <w:rFonts w:ascii="FangSong_GB2312" w:hAnsi="FangSong_GB2312" w:eastAsia="FangSong_GB2312" w:cs="仿宋"/>
                <w:b/>
                <w:bCs/>
              </w:rPr>
            </w:pPr>
            <w:r>
              <w:rPr>
                <w:rFonts w:hint="eastAsia" w:ascii="FangSong_GB2312" w:hAnsi="FangSong_GB2312" w:eastAsia="FangSong_GB2312" w:cs="仿宋"/>
                <w:bCs/>
                <w:u w:val="wave"/>
              </w:rPr>
              <w:t>依需要确定</w:t>
            </w:r>
          </w:p>
        </w:tc>
      </w:tr>
    </w:tbl>
    <w:p>
      <w:pPr>
        <w:spacing w:after="160" w:line="560" w:lineRule="exact"/>
        <w:ind w:firstLine="640" w:firstLineChars="200"/>
        <w:contextualSpacing/>
        <w:rPr>
          <w:rFonts w:ascii="FangSong_GB2312" w:hAnsi="FangSong_GB2312" w:eastAsia="FangSong_GB2312"/>
          <w:sz w:val="32"/>
          <w:szCs w:val="32"/>
        </w:rPr>
      </w:pPr>
      <w:r>
        <w:rPr>
          <w:rFonts w:ascii="FangSong_GB2312" w:hAnsi="FangSong_GB2312" w:eastAsia="FangSong_GB2312"/>
          <w:sz w:val="32"/>
          <w:szCs w:val="32"/>
        </w:rPr>
        <w:t xml:space="preserve">* </w:t>
      </w:r>
      <w:r>
        <w:rPr>
          <w:rFonts w:hint="eastAsia" w:ascii="FangSong_GB2312" w:hAnsi="FangSong_GB2312" w:eastAsia="FangSong_GB2312"/>
          <w:sz w:val="32"/>
          <w:szCs w:val="32"/>
        </w:rPr>
        <w:t>如有血检任务需配备的通用物资</w:t>
      </w:r>
    </w:p>
    <w:p>
      <w:pPr>
        <w:spacing w:after="160" w:line="560" w:lineRule="exact"/>
        <w:ind w:firstLine="640" w:firstLineChars="200"/>
        <w:contextualSpacing/>
        <w:rPr>
          <w:rFonts w:ascii="FangSong_GB2312" w:hAnsi="FangSong_GB2312" w:eastAsia="FangSong_GB2312"/>
          <w:sz w:val="32"/>
          <w:szCs w:val="32"/>
        </w:rPr>
      </w:pPr>
      <w:r>
        <w:rPr>
          <w:rFonts w:ascii="FangSong_GB2312" w:hAnsi="FangSong_GB2312" w:eastAsia="FangSong_GB2312"/>
          <w:sz w:val="32"/>
          <w:szCs w:val="32"/>
        </w:rPr>
        <w:t xml:space="preserve">** </w:t>
      </w:r>
      <w:r>
        <w:rPr>
          <w:rFonts w:hint="eastAsia" w:ascii="FangSong_GB2312" w:hAnsi="FangSong_GB2312" w:eastAsia="FangSong_GB2312"/>
          <w:sz w:val="32"/>
          <w:szCs w:val="32"/>
        </w:rPr>
        <w:t>如涉及国际赛事优先选用坐便器</w:t>
      </w:r>
    </w:p>
    <w:p>
      <w:pPr>
        <w:spacing w:after="160"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（二）兴奋剂检查站饮料提供要求</w:t>
      </w:r>
    </w:p>
    <w:p>
      <w:pPr>
        <w:spacing w:after="160"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赛时，兴奋剂检查站内应确保提供充足的饮料供运动员饮用。</w:t>
      </w:r>
    </w:p>
    <w:p>
      <w:pPr>
        <w:spacing w:after="160"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1</w:t>
      </w:r>
      <w:r>
        <w:rPr>
          <w:rFonts w:ascii="FangSong_GB2312" w:hAnsi="FangSong_GB2312" w:eastAsia="FangSong_GB2312"/>
          <w:sz w:val="32"/>
          <w:szCs w:val="32"/>
        </w:rPr>
        <w:t>.</w:t>
      </w:r>
      <w:r>
        <w:rPr>
          <w:rFonts w:hint="eastAsia" w:ascii="FangSong_GB2312" w:hAnsi="FangSong_GB2312" w:eastAsia="FangSong_GB2312"/>
          <w:sz w:val="32"/>
          <w:szCs w:val="32"/>
        </w:rPr>
        <w:t>饮料的基本要求：不含兴奋剂，不含酒精，瓶装或听装，单独密封，容量大约为500ml/瓶。</w:t>
      </w:r>
    </w:p>
    <w:p>
      <w:pPr>
        <w:spacing w:after="160"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2</w:t>
      </w:r>
      <w:r>
        <w:rPr>
          <w:rFonts w:ascii="FangSong_GB2312" w:hAnsi="FangSong_GB2312" w:eastAsia="FangSong_GB2312"/>
          <w:sz w:val="32"/>
          <w:szCs w:val="32"/>
        </w:rPr>
        <w:t>.</w:t>
      </w:r>
      <w:r>
        <w:rPr>
          <w:rFonts w:hint="eastAsia" w:ascii="FangSong_GB2312" w:hAnsi="FangSong_GB2312" w:eastAsia="FangSong_GB2312"/>
          <w:sz w:val="32"/>
          <w:szCs w:val="32"/>
        </w:rPr>
        <w:t>推荐饮料种类：饮用水、碳酸饮料、果汁饮料、运动饮料，建议3-4种。</w:t>
      </w:r>
    </w:p>
    <w:p>
      <w:pPr>
        <w:spacing w:after="160"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3</w:t>
      </w:r>
      <w:r>
        <w:rPr>
          <w:rFonts w:ascii="FangSong_GB2312" w:hAnsi="FangSong_GB2312" w:eastAsia="FangSong_GB2312"/>
          <w:sz w:val="32"/>
          <w:szCs w:val="32"/>
        </w:rPr>
        <w:t>.</w:t>
      </w:r>
      <w:r>
        <w:rPr>
          <w:rFonts w:hint="eastAsia" w:ascii="FangSong_GB2312" w:hAnsi="FangSong_GB2312" w:eastAsia="FangSong_GB2312"/>
          <w:sz w:val="32"/>
          <w:szCs w:val="32"/>
        </w:rPr>
        <w:t>数量要求：按照检查数量配备，原则按照1:10比例配备，即检查1名运动员配备10瓶上述饮料。饮料种类配备比例原则上按照平均配备，饮用水所占比例可略高。</w:t>
      </w:r>
    </w:p>
    <w:p>
      <w:pPr>
        <w:spacing w:after="160"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4</w:t>
      </w:r>
      <w:r>
        <w:rPr>
          <w:rFonts w:ascii="FangSong_GB2312" w:hAnsi="FangSong_GB2312" w:eastAsia="FangSong_GB2312"/>
          <w:sz w:val="32"/>
          <w:szCs w:val="32"/>
        </w:rPr>
        <w:t>.</w:t>
      </w:r>
      <w:r>
        <w:rPr>
          <w:rFonts w:hint="eastAsia" w:ascii="FangSong_GB2312" w:hAnsi="FangSong_GB2312" w:eastAsia="FangSong_GB2312"/>
          <w:sz w:val="32"/>
          <w:szCs w:val="32"/>
        </w:rPr>
        <w:t>摆放要求：饮料摆放在候检室，除在冰箱内摆放外，也需摆放部分常温饮料。</w:t>
      </w:r>
    </w:p>
    <w:p>
      <w:pPr>
        <w:spacing w:after="160"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（三）标牌、桌签及通行证</w:t>
      </w:r>
    </w:p>
    <w:p>
      <w:pPr>
        <w:spacing w:after="160"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清单如下，制作模版见附件。</w:t>
      </w:r>
    </w:p>
    <w:tbl>
      <w:tblPr>
        <w:tblStyle w:val="8"/>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97"/>
        <w:gridCol w:w="1614"/>
        <w:gridCol w:w="2458"/>
        <w:gridCol w:w="1759"/>
        <w:gridCol w:w="13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7" w:type="dxa"/>
            <w:vAlign w:val="center"/>
          </w:tcPr>
          <w:p>
            <w:pPr>
              <w:pStyle w:val="2"/>
              <w:widowControl w:val="0"/>
              <w:tabs>
                <w:tab w:val="left" w:pos="2340"/>
                <w:tab w:val="left" w:pos="4320"/>
              </w:tabs>
              <w:spacing w:line="560" w:lineRule="exact"/>
              <w:contextualSpacing/>
              <w:jc w:val="center"/>
              <w:rPr>
                <w:rFonts w:ascii="FangSong_GB2312" w:hAnsi="FangSong_GB2312" w:eastAsia="FangSong_GB2312" w:cs="仿宋"/>
                <w:sz w:val="28"/>
                <w:szCs w:val="28"/>
              </w:rPr>
            </w:pPr>
            <w:r>
              <w:rPr>
                <w:rFonts w:hint="eastAsia" w:ascii="FangSong_GB2312" w:hAnsi="FangSong_GB2312" w:eastAsia="FangSong_GB2312" w:cs="仿宋"/>
                <w:sz w:val="28"/>
                <w:szCs w:val="28"/>
              </w:rPr>
              <w:t>类型</w:t>
            </w:r>
          </w:p>
        </w:tc>
        <w:tc>
          <w:tcPr>
            <w:tcW w:w="1614" w:type="dxa"/>
            <w:vAlign w:val="center"/>
          </w:tcPr>
          <w:p>
            <w:pPr>
              <w:pStyle w:val="2"/>
              <w:widowControl w:val="0"/>
              <w:tabs>
                <w:tab w:val="left" w:pos="2340"/>
                <w:tab w:val="left" w:pos="4320"/>
              </w:tabs>
              <w:spacing w:line="560" w:lineRule="exact"/>
              <w:contextualSpacing/>
              <w:jc w:val="center"/>
              <w:rPr>
                <w:rFonts w:ascii="FangSong_GB2312" w:hAnsi="FangSong_GB2312" w:eastAsia="FangSong_GB2312" w:cs="仿宋"/>
                <w:sz w:val="28"/>
                <w:szCs w:val="28"/>
              </w:rPr>
            </w:pPr>
            <w:r>
              <w:rPr>
                <w:rFonts w:hint="eastAsia" w:ascii="FangSong_GB2312" w:hAnsi="FangSong_GB2312" w:eastAsia="FangSong_GB2312" w:cs="仿宋"/>
                <w:sz w:val="28"/>
                <w:szCs w:val="28"/>
              </w:rPr>
              <w:t>位置</w:t>
            </w:r>
          </w:p>
        </w:tc>
        <w:tc>
          <w:tcPr>
            <w:tcW w:w="2458" w:type="dxa"/>
            <w:vAlign w:val="center"/>
          </w:tcPr>
          <w:p>
            <w:pPr>
              <w:pStyle w:val="2"/>
              <w:widowControl w:val="0"/>
              <w:tabs>
                <w:tab w:val="left" w:pos="2340"/>
                <w:tab w:val="left" w:pos="4320"/>
              </w:tabs>
              <w:spacing w:line="560" w:lineRule="exact"/>
              <w:contextualSpacing/>
              <w:jc w:val="center"/>
              <w:rPr>
                <w:rFonts w:ascii="FangSong_GB2312" w:hAnsi="FangSong_GB2312" w:eastAsia="FangSong_GB2312" w:cs="仿宋"/>
                <w:sz w:val="28"/>
                <w:szCs w:val="28"/>
              </w:rPr>
            </w:pPr>
            <w:r>
              <w:rPr>
                <w:rFonts w:hint="eastAsia" w:ascii="FangSong_GB2312" w:hAnsi="FangSong_GB2312" w:eastAsia="FangSong_GB2312" w:cs="仿宋"/>
                <w:sz w:val="28"/>
                <w:szCs w:val="28"/>
              </w:rPr>
              <w:t>名称</w:t>
            </w:r>
          </w:p>
        </w:tc>
        <w:tc>
          <w:tcPr>
            <w:tcW w:w="1759" w:type="dxa"/>
            <w:vAlign w:val="center"/>
          </w:tcPr>
          <w:p>
            <w:pPr>
              <w:pStyle w:val="2"/>
              <w:widowControl w:val="0"/>
              <w:tabs>
                <w:tab w:val="left" w:pos="2340"/>
                <w:tab w:val="left" w:pos="4320"/>
              </w:tabs>
              <w:spacing w:line="560" w:lineRule="exact"/>
              <w:contextualSpacing/>
              <w:jc w:val="center"/>
              <w:rPr>
                <w:rFonts w:ascii="FangSong_GB2312" w:hAnsi="FangSong_GB2312" w:eastAsia="FangSong_GB2312" w:cs="仿宋"/>
                <w:sz w:val="28"/>
                <w:szCs w:val="28"/>
              </w:rPr>
            </w:pPr>
            <w:r>
              <w:rPr>
                <w:rFonts w:hint="eastAsia" w:ascii="FangSong_GB2312" w:hAnsi="FangSong_GB2312" w:eastAsia="FangSong_GB2312" w:cs="仿宋"/>
                <w:sz w:val="28"/>
                <w:szCs w:val="28"/>
              </w:rPr>
              <w:t>建议尺寸</w:t>
            </w:r>
          </w:p>
        </w:tc>
        <w:tc>
          <w:tcPr>
            <w:tcW w:w="1394" w:type="dxa"/>
            <w:vAlign w:val="center"/>
          </w:tcPr>
          <w:p>
            <w:pPr>
              <w:pStyle w:val="2"/>
              <w:widowControl w:val="0"/>
              <w:tabs>
                <w:tab w:val="left" w:pos="2340"/>
                <w:tab w:val="left" w:pos="4320"/>
              </w:tabs>
              <w:spacing w:line="560" w:lineRule="exact"/>
              <w:contextualSpacing/>
              <w:jc w:val="center"/>
              <w:rPr>
                <w:rFonts w:ascii="FangSong_GB2312" w:hAnsi="FangSong_GB2312" w:eastAsia="FangSong_GB2312" w:cs="仿宋"/>
                <w:sz w:val="28"/>
                <w:szCs w:val="28"/>
              </w:rPr>
            </w:pPr>
            <w:r>
              <w:rPr>
                <w:rFonts w:hint="eastAsia" w:ascii="FangSong_GB2312" w:hAnsi="FangSong_GB2312" w:eastAsia="FangSong_GB2312" w:cs="仿宋"/>
                <w:sz w:val="28"/>
                <w:szCs w:val="28"/>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7" w:type="dxa"/>
            <w:vMerge w:val="restart"/>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标牌</w:t>
            </w:r>
          </w:p>
        </w:tc>
        <w:tc>
          <w:tcPr>
            <w:tcW w:w="1614" w:type="dxa"/>
            <w:vAlign w:val="center"/>
          </w:tcPr>
          <w:p>
            <w:pPr>
              <w:widowControl w:val="0"/>
              <w:spacing w:line="560" w:lineRule="exact"/>
              <w:contextualSpacing/>
              <w:jc w:val="center"/>
              <w:rPr>
                <w:rFonts w:ascii="FangSong_GB2312" w:hAnsi="FangSong_GB2312" w:eastAsia="FangSong_GB2312" w:cs="仿宋"/>
                <w:bCs/>
                <w:sz w:val="24"/>
                <w:szCs w:val="20"/>
              </w:rPr>
            </w:pPr>
            <w:r>
              <w:rPr>
                <w:rFonts w:ascii="FangSong_GB2312" w:hAnsi="FangSong_GB2312" w:eastAsia="FangSong_GB2312" w:cs="仿宋"/>
                <w:bCs/>
                <w:sz w:val="24"/>
                <w:szCs w:val="20"/>
              </w:rPr>
              <w:t>兴奋剂检查站入口</w:t>
            </w:r>
          </w:p>
        </w:tc>
        <w:tc>
          <w:tcPr>
            <w:tcW w:w="2458" w:type="dxa"/>
            <w:vAlign w:val="center"/>
          </w:tcPr>
          <w:p>
            <w:pPr>
              <w:widowControl w:val="0"/>
              <w:spacing w:line="560" w:lineRule="exact"/>
              <w:contextualSpacing/>
              <w:jc w:val="center"/>
              <w:rPr>
                <w:rFonts w:ascii="FangSong_GB2312" w:hAnsi="FangSong_GB2312" w:eastAsia="FangSong_GB2312" w:cs="仿宋"/>
                <w:bCs/>
                <w:sz w:val="24"/>
                <w:szCs w:val="20"/>
              </w:rPr>
            </w:pPr>
            <w:r>
              <w:rPr>
                <w:rFonts w:ascii="FangSong_GB2312" w:hAnsi="FangSong_GB2312" w:eastAsia="FangSong_GB2312" w:cs="仿宋"/>
                <w:bCs/>
                <w:sz w:val="24"/>
                <w:szCs w:val="20"/>
              </w:rPr>
              <w:t>兴奋剂检查站</w:t>
            </w:r>
          </w:p>
        </w:tc>
        <w:tc>
          <w:tcPr>
            <w:tcW w:w="1759" w:type="dxa"/>
            <w:vAlign w:val="center"/>
          </w:tcPr>
          <w:p>
            <w:pPr>
              <w:widowControl w:val="0"/>
              <w:spacing w:line="560" w:lineRule="exact"/>
              <w:contextualSpacing/>
              <w:jc w:val="center"/>
              <w:rPr>
                <w:rFonts w:ascii="FangSong_GB2312" w:hAnsi="FangSong_GB2312" w:eastAsia="FangSong_GB2312" w:cs="仿宋"/>
                <w:bCs/>
                <w:sz w:val="24"/>
                <w:szCs w:val="20"/>
              </w:rPr>
            </w:pPr>
            <w:r>
              <w:rPr>
                <w:rFonts w:ascii="FangSong_GB2312" w:hAnsi="FangSong_GB2312" w:eastAsia="FangSong_GB2312" w:cs="仿宋"/>
                <w:bCs/>
                <w:sz w:val="24"/>
                <w:szCs w:val="20"/>
              </w:rPr>
              <w:t>30cm*40cm</w:t>
            </w:r>
          </w:p>
        </w:tc>
        <w:tc>
          <w:tcPr>
            <w:tcW w:w="1394"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7"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1614" w:type="dxa"/>
            <w:vMerge w:val="restart"/>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候检室内</w:t>
            </w:r>
          </w:p>
        </w:tc>
        <w:tc>
          <w:tcPr>
            <w:tcW w:w="2458"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禁止喧哗</w:t>
            </w:r>
          </w:p>
        </w:tc>
        <w:tc>
          <w:tcPr>
            <w:tcW w:w="1759" w:type="dxa"/>
            <w:vMerge w:val="restart"/>
            <w:vAlign w:val="center"/>
          </w:tcPr>
          <w:p>
            <w:pPr>
              <w:widowControl w:val="0"/>
              <w:spacing w:line="560" w:lineRule="exact"/>
              <w:contextualSpacing/>
              <w:jc w:val="center"/>
              <w:rPr>
                <w:rFonts w:ascii="FangSong_GB2312" w:hAnsi="FangSong_GB2312" w:eastAsia="FangSong_GB2312" w:cs="仿宋"/>
                <w:bCs/>
                <w:sz w:val="24"/>
                <w:szCs w:val="20"/>
              </w:rPr>
            </w:pPr>
            <w:r>
              <w:rPr>
                <w:rFonts w:ascii="FangSong_GB2312" w:hAnsi="FangSong_GB2312" w:eastAsia="FangSong_GB2312" w:cs="仿宋"/>
                <w:bCs/>
                <w:sz w:val="24"/>
                <w:szCs w:val="20"/>
              </w:rPr>
              <w:t>30cm*40cm</w:t>
            </w:r>
          </w:p>
        </w:tc>
        <w:tc>
          <w:tcPr>
            <w:tcW w:w="1394"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7"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1614"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2458"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严禁拍摄</w:t>
            </w:r>
          </w:p>
        </w:tc>
        <w:tc>
          <w:tcPr>
            <w:tcW w:w="1759"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1394"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7"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1614"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2458"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禁止吸烟</w:t>
            </w:r>
          </w:p>
        </w:tc>
        <w:tc>
          <w:tcPr>
            <w:tcW w:w="1759"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1394"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97" w:type="dxa"/>
            <w:vMerge w:val="continue"/>
            <w:vAlign w:val="center"/>
          </w:tcPr>
          <w:p>
            <w:pPr>
              <w:widowControl w:val="0"/>
              <w:spacing w:line="560" w:lineRule="exact"/>
              <w:contextualSpacing/>
              <w:jc w:val="center"/>
              <w:rPr>
                <w:rFonts w:ascii="FangSong_GB2312" w:hAnsi="FangSong_GB2312" w:eastAsia="FangSong_GB2312" w:cs="仿宋"/>
                <w:bCs/>
                <w:sz w:val="20"/>
                <w:szCs w:val="20"/>
              </w:rPr>
            </w:pPr>
          </w:p>
        </w:tc>
        <w:tc>
          <w:tcPr>
            <w:tcW w:w="1614" w:type="dxa"/>
            <w:vMerge w:val="continue"/>
            <w:vAlign w:val="center"/>
          </w:tcPr>
          <w:p>
            <w:pPr>
              <w:widowControl w:val="0"/>
              <w:spacing w:line="560" w:lineRule="exact"/>
              <w:contextualSpacing/>
              <w:jc w:val="center"/>
              <w:rPr>
                <w:rFonts w:ascii="FangSong_GB2312" w:hAnsi="FangSong_GB2312" w:eastAsia="FangSong_GB2312" w:cs="仿宋"/>
                <w:bCs/>
                <w:sz w:val="20"/>
                <w:szCs w:val="20"/>
              </w:rPr>
            </w:pPr>
          </w:p>
        </w:tc>
        <w:tc>
          <w:tcPr>
            <w:tcW w:w="2458" w:type="dxa"/>
            <w:vAlign w:val="center"/>
          </w:tcPr>
          <w:p>
            <w:pPr>
              <w:widowControl w:val="0"/>
              <w:spacing w:line="560" w:lineRule="exact"/>
              <w:contextualSpacing/>
              <w:jc w:val="center"/>
              <w:rPr>
                <w:rFonts w:ascii="FangSong_GB2312" w:hAnsi="FangSong_GB2312" w:eastAsia="FangSong_GB2312" w:cs="仿宋"/>
                <w:bCs/>
                <w:sz w:val="20"/>
                <w:szCs w:val="20"/>
              </w:rPr>
            </w:pPr>
            <w:r>
              <w:rPr>
                <w:rFonts w:hint="eastAsia" w:ascii="FangSong_GB2312" w:hAnsi="FangSong_GB2312" w:eastAsia="FangSong_GB2312" w:cs="仿宋"/>
                <w:bCs/>
                <w:sz w:val="24"/>
                <w:szCs w:val="20"/>
              </w:rPr>
              <w:t>禁止饮酒</w:t>
            </w:r>
          </w:p>
        </w:tc>
        <w:tc>
          <w:tcPr>
            <w:tcW w:w="1759" w:type="dxa"/>
            <w:vMerge w:val="continue"/>
            <w:vAlign w:val="center"/>
          </w:tcPr>
          <w:p>
            <w:pPr>
              <w:widowControl w:val="0"/>
              <w:spacing w:line="560" w:lineRule="exact"/>
              <w:contextualSpacing/>
              <w:jc w:val="center"/>
              <w:rPr>
                <w:rFonts w:ascii="FangSong_GB2312" w:hAnsi="FangSong_GB2312" w:eastAsia="FangSong_GB2312" w:cs="仿宋"/>
                <w:bCs/>
                <w:sz w:val="20"/>
                <w:szCs w:val="20"/>
              </w:rPr>
            </w:pPr>
          </w:p>
        </w:tc>
        <w:tc>
          <w:tcPr>
            <w:tcW w:w="1394" w:type="dxa"/>
            <w:vAlign w:val="center"/>
          </w:tcPr>
          <w:p>
            <w:pPr>
              <w:widowControl w:val="0"/>
              <w:spacing w:line="560" w:lineRule="exact"/>
              <w:contextualSpacing/>
              <w:jc w:val="center"/>
              <w:rPr>
                <w:rFonts w:ascii="FangSong_GB2312" w:hAnsi="FangSong_GB2312" w:eastAsia="FangSong_GB2312" w:cs="仿宋"/>
                <w:bCs/>
                <w:sz w:val="20"/>
                <w:szCs w:val="20"/>
              </w:rPr>
            </w:pPr>
            <w:r>
              <w:rPr>
                <w:rFonts w:hint="eastAsia" w:ascii="FangSong_GB2312" w:hAnsi="FangSong_GB2312" w:eastAsia="FangSong_GB2312" w:cs="仿宋"/>
                <w:bCs/>
                <w:sz w:val="20"/>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7"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1614"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工作室内</w:t>
            </w:r>
          </w:p>
        </w:tc>
        <w:tc>
          <w:tcPr>
            <w:tcW w:w="2458"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留样监督</w:t>
            </w:r>
          </w:p>
        </w:tc>
        <w:tc>
          <w:tcPr>
            <w:tcW w:w="1759" w:type="dxa"/>
            <w:vAlign w:val="center"/>
          </w:tcPr>
          <w:p>
            <w:pPr>
              <w:widowControl w:val="0"/>
              <w:spacing w:line="560" w:lineRule="exact"/>
              <w:contextualSpacing/>
              <w:jc w:val="center"/>
              <w:rPr>
                <w:rFonts w:ascii="FangSong_GB2312" w:hAnsi="FangSong_GB2312" w:eastAsia="FangSong_GB2312" w:cs="仿宋"/>
                <w:bCs/>
                <w:sz w:val="24"/>
                <w:szCs w:val="20"/>
              </w:rPr>
            </w:pPr>
            <w:r>
              <w:rPr>
                <w:rFonts w:ascii="FangSong_GB2312" w:hAnsi="FangSong_GB2312" w:eastAsia="FangSong_GB2312" w:cs="仿宋"/>
                <w:bCs/>
                <w:sz w:val="24"/>
                <w:szCs w:val="20"/>
              </w:rPr>
              <w:t>30cm*40cm</w:t>
            </w:r>
          </w:p>
        </w:tc>
        <w:tc>
          <w:tcPr>
            <w:tcW w:w="1394" w:type="dxa"/>
            <w:vMerge w:val="restart"/>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依工作室数量确认</w:t>
            </w:r>
          </w:p>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（比例：1:1）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7"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1614" w:type="dxa"/>
            <w:vMerge w:val="restart"/>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候检室和工作室内</w:t>
            </w:r>
          </w:p>
        </w:tc>
        <w:tc>
          <w:tcPr>
            <w:tcW w:w="2458"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兴奋剂检查流程简图</w:t>
            </w:r>
          </w:p>
        </w:tc>
        <w:tc>
          <w:tcPr>
            <w:tcW w:w="1759" w:type="dxa"/>
            <w:vMerge w:val="restart"/>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依照空间大小确认</w:t>
            </w:r>
          </w:p>
        </w:tc>
        <w:tc>
          <w:tcPr>
            <w:tcW w:w="1394"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97"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1614"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2458"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尿样采集程序</w:t>
            </w:r>
          </w:p>
        </w:tc>
        <w:tc>
          <w:tcPr>
            <w:tcW w:w="1759"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1394"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97"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1614"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2458"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部分尿样采集程序</w:t>
            </w:r>
          </w:p>
        </w:tc>
        <w:tc>
          <w:tcPr>
            <w:tcW w:w="1759"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1394"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97"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1614"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2458"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血样采集程序</w:t>
            </w:r>
          </w:p>
        </w:tc>
        <w:tc>
          <w:tcPr>
            <w:tcW w:w="1759"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1394"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7" w:type="dxa"/>
            <w:vMerge w:val="continue"/>
            <w:vAlign w:val="center"/>
          </w:tcPr>
          <w:p>
            <w:pPr>
              <w:widowControl w:val="0"/>
              <w:spacing w:line="560" w:lineRule="exact"/>
              <w:contextualSpacing/>
              <w:jc w:val="center"/>
              <w:rPr>
                <w:rFonts w:ascii="FangSong_GB2312" w:hAnsi="FangSong_GB2312" w:eastAsia="FangSong_GB2312" w:cs="仿宋"/>
                <w:bCs/>
                <w:sz w:val="20"/>
                <w:szCs w:val="20"/>
              </w:rPr>
            </w:pPr>
          </w:p>
        </w:tc>
        <w:tc>
          <w:tcPr>
            <w:tcW w:w="1614" w:type="dxa"/>
            <w:vMerge w:val="continue"/>
            <w:vAlign w:val="center"/>
          </w:tcPr>
          <w:p>
            <w:pPr>
              <w:widowControl w:val="0"/>
              <w:spacing w:line="560" w:lineRule="exact"/>
              <w:contextualSpacing/>
              <w:jc w:val="center"/>
              <w:rPr>
                <w:rFonts w:ascii="FangSong_GB2312" w:hAnsi="FangSong_GB2312" w:eastAsia="FangSong_GB2312" w:cs="仿宋"/>
                <w:bCs/>
                <w:sz w:val="20"/>
                <w:szCs w:val="20"/>
              </w:rPr>
            </w:pPr>
          </w:p>
        </w:tc>
        <w:tc>
          <w:tcPr>
            <w:tcW w:w="2458" w:type="dxa"/>
            <w:vAlign w:val="center"/>
          </w:tcPr>
          <w:p>
            <w:pPr>
              <w:widowControl w:val="0"/>
              <w:spacing w:line="560" w:lineRule="exact"/>
              <w:contextualSpacing/>
              <w:jc w:val="center"/>
              <w:rPr>
                <w:rFonts w:ascii="FangSong_GB2312" w:hAnsi="FangSong_GB2312" w:eastAsia="FangSong_GB2312" w:cs="仿宋"/>
                <w:bCs/>
                <w:sz w:val="20"/>
                <w:szCs w:val="20"/>
              </w:rPr>
            </w:pPr>
            <w:r>
              <w:rPr>
                <w:rFonts w:hint="eastAsia" w:ascii="FangSong_GB2312" w:hAnsi="FangSong_GB2312" w:eastAsia="FangSong_GB2312" w:cs="仿宋"/>
                <w:bCs/>
                <w:sz w:val="24"/>
                <w:szCs w:val="20"/>
              </w:rPr>
              <w:t>干血点采集程序</w:t>
            </w:r>
          </w:p>
        </w:tc>
        <w:tc>
          <w:tcPr>
            <w:tcW w:w="1759" w:type="dxa"/>
            <w:vMerge w:val="continue"/>
            <w:vAlign w:val="center"/>
          </w:tcPr>
          <w:p>
            <w:pPr>
              <w:widowControl w:val="0"/>
              <w:spacing w:line="560" w:lineRule="exact"/>
              <w:contextualSpacing/>
              <w:jc w:val="center"/>
              <w:rPr>
                <w:rFonts w:ascii="FangSong_GB2312" w:hAnsi="FangSong_GB2312" w:eastAsia="FangSong_GB2312" w:cs="仿宋"/>
                <w:bCs/>
                <w:sz w:val="20"/>
                <w:szCs w:val="20"/>
              </w:rPr>
            </w:pPr>
          </w:p>
        </w:tc>
        <w:tc>
          <w:tcPr>
            <w:tcW w:w="1394" w:type="dxa"/>
            <w:vMerge w:val="continue"/>
            <w:vAlign w:val="center"/>
          </w:tcPr>
          <w:p>
            <w:pPr>
              <w:widowControl w:val="0"/>
              <w:spacing w:line="560" w:lineRule="exact"/>
              <w:contextualSpacing/>
              <w:jc w:val="center"/>
              <w:rPr>
                <w:rFonts w:ascii="FangSong_GB2312" w:hAnsi="FangSong_GB2312" w:eastAsia="FangSong_GB2312" w:cs="仿宋"/>
                <w:bCs/>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7" w:type="dxa"/>
            <w:vMerge w:val="restart"/>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桌签</w:t>
            </w:r>
          </w:p>
        </w:tc>
        <w:tc>
          <w:tcPr>
            <w:tcW w:w="1614" w:type="dxa"/>
            <w:vMerge w:val="restart"/>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候检室内</w:t>
            </w:r>
          </w:p>
        </w:tc>
        <w:tc>
          <w:tcPr>
            <w:tcW w:w="2458"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自取饮料</w:t>
            </w:r>
          </w:p>
        </w:tc>
        <w:tc>
          <w:tcPr>
            <w:tcW w:w="1759" w:type="dxa"/>
            <w:vMerge w:val="restart"/>
            <w:vAlign w:val="center"/>
          </w:tcPr>
          <w:p>
            <w:pPr>
              <w:widowControl w:val="0"/>
              <w:spacing w:line="560" w:lineRule="exact"/>
              <w:contextualSpacing/>
              <w:jc w:val="center"/>
              <w:rPr>
                <w:rFonts w:ascii="FangSong_GB2312" w:hAnsi="FangSong_GB2312" w:eastAsia="FangSong_GB2312" w:cs="仿宋"/>
                <w:bCs/>
                <w:sz w:val="24"/>
                <w:szCs w:val="20"/>
              </w:rPr>
            </w:pPr>
            <w:r>
              <w:rPr>
                <w:rFonts w:ascii="FangSong_GB2312" w:hAnsi="FangSong_GB2312" w:eastAsia="FangSong_GB2312" w:cs="仿宋"/>
                <w:bCs/>
                <w:sz w:val="24"/>
                <w:szCs w:val="20"/>
              </w:rPr>
              <w:t>23cm*14cm</w:t>
            </w:r>
          </w:p>
        </w:tc>
        <w:tc>
          <w:tcPr>
            <w:tcW w:w="1394"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7"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1614"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2458"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进出登记</w:t>
            </w:r>
          </w:p>
        </w:tc>
        <w:tc>
          <w:tcPr>
            <w:tcW w:w="1759"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1394"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7"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1614"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操作间内</w:t>
            </w:r>
          </w:p>
        </w:tc>
        <w:tc>
          <w:tcPr>
            <w:tcW w:w="2458"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自取取样器材</w:t>
            </w:r>
          </w:p>
        </w:tc>
        <w:tc>
          <w:tcPr>
            <w:tcW w:w="1759" w:type="dxa"/>
            <w:vMerge w:val="continue"/>
            <w:vAlign w:val="center"/>
          </w:tcPr>
          <w:p>
            <w:pPr>
              <w:widowControl w:val="0"/>
              <w:spacing w:line="560" w:lineRule="exact"/>
              <w:contextualSpacing/>
              <w:jc w:val="center"/>
              <w:rPr>
                <w:rFonts w:ascii="FangSong_GB2312" w:hAnsi="FangSong_GB2312" w:eastAsia="FangSong_GB2312" w:cs="仿宋"/>
                <w:bCs/>
                <w:sz w:val="24"/>
                <w:szCs w:val="20"/>
              </w:rPr>
            </w:pPr>
          </w:p>
        </w:tc>
        <w:tc>
          <w:tcPr>
            <w:tcW w:w="1394"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依工作室数量确认</w:t>
            </w:r>
          </w:p>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（比例：1:1）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7"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通行证</w:t>
            </w:r>
          </w:p>
        </w:tc>
        <w:tc>
          <w:tcPr>
            <w:tcW w:w="1614"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候检室内</w:t>
            </w:r>
          </w:p>
        </w:tc>
        <w:tc>
          <w:tcPr>
            <w:tcW w:w="2458"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通行证</w:t>
            </w:r>
          </w:p>
        </w:tc>
        <w:tc>
          <w:tcPr>
            <w:tcW w:w="1759" w:type="dxa"/>
            <w:vAlign w:val="center"/>
          </w:tcPr>
          <w:p>
            <w:pPr>
              <w:widowControl w:val="0"/>
              <w:spacing w:line="560" w:lineRule="exact"/>
              <w:contextualSpacing/>
              <w:jc w:val="center"/>
              <w:rPr>
                <w:rFonts w:ascii="FangSong_GB2312" w:hAnsi="FangSong_GB2312" w:eastAsia="FangSong_GB2312" w:cs="仿宋"/>
                <w:bCs/>
                <w:sz w:val="24"/>
                <w:szCs w:val="20"/>
              </w:rPr>
            </w:pPr>
            <w:r>
              <w:rPr>
                <w:rFonts w:ascii="FangSong_GB2312" w:hAnsi="FangSong_GB2312" w:eastAsia="FangSong_GB2312" w:cs="仿宋"/>
                <w:bCs/>
                <w:sz w:val="24"/>
                <w:szCs w:val="20"/>
              </w:rPr>
              <w:t>10cm*14cm</w:t>
            </w:r>
          </w:p>
        </w:tc>
        <w:tc>
          <w:tcPr>
            <w:tcW w:w="1394" w:type="dxa"/>
            <w:vAlign w:val="center"/>
          </w:tcPr>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依检查数量确认</w:t>
            </w:r>
          </w:p>
          <w:p>
            <w:pPr>
              <w:widowControl w:val="0"/>
              <w:spacing w:line="560" w:lineRule="exact"/>
              <w:contextualSpacing/>
              <w:jc w:val="center"/>
              <w:rPr>
                <w:rFonts w:ascii="FangSong_GB2312" w:hAnsi="FangSong_GB2312" w:eastAsia="FangSong_GB2312" w:cs="仿宋"/>
                <w:bCs/>
                <w:sz w:val="24"/>
                <w:szCs w:val="20"/>
              </w:rPr>
            </w:pPr>
            <w:r>
              <w:rPr>
                <w:rFonts w:hint="eastAsia" w:ascii="FangSong_GB2312" w:hAnsi="FangSong_GB2312" w:eastAsia="FangSong_GB2312" w:cs="仿宋"/>
                <w:bCs/>
                <w:sz w:val="24"/>
                <w:szCs w:val="20"/>
              </w:rPr>
              <w:t>（比例：1:3）</w:t>
            </w:r>
          </w:p>
        </w:tc>
      </w:tr>
    </w:tbl>
    <w:p>
      <w:pPr>
        <w:spacing w:after="160"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五、无障碍要求</w:t>
      </w:r>
    </w:p>
    <w:p>
      <w:pPr>
        <w:spacing w:after="160"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（一）残疾人赛事中的所有比赛场馆和运动员集中住宿区域的兴奋剂检查站应设无障碍卫生间，其内部设施和布局需符合相应标准，可参照赛事无障碍卫生间建设标准文件。</w:t>
      </w:r>
    </w:p>
    <w:p>
      <w:pPr>
        <w:spacing w:after="160"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（二）残疾人赛事中的所有兴奋剂检查站应当确保从竞赛场馆、非竞赛场馆等相关活动区域至兴奋剂检查站的流线和设施满足无障碍通行需求。</w:t>
      </w:r>
    </w:p>
    <w:p>
      <w:pPr>
        <w:spacing w:after="160"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六</w:t>
      </w:r>
      <w:r>
        <w:rPr>
          <w:rFonts w:ascii="FangSong_GB2312" w:hAnsi="FangSong_GB2312" w:eastAsia="FangSong_GB2312"/>
          <w:sz w:val="32"/>
          <w:szCs w:val="32"/>
          <w:lang w:val="zh-CN"/>
        </w:rPr>
        <w:t>、</w:t>
      </w:r>
      <w:r>
        <w:rPr>
          <w:rFonts w:hint="eastAsia" w:ascii="FangSong_GB2312" w:hAnsi="FangSong_GB2312" w:eastAsia="FangSong_GB2312"/>
          <w:sz w:val="32"/>
          <w:szCs w:val="32"/>
        </w:rPr>
        <w:t>运行要求</w:t>
      </w:r>
    </w:p>
    <w:p>
      <w:pPr>
        <w:spacing w:after="160"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（一）食物饮料管理</w:t>
      </w:r>
    </w:p>
    <w:p>
      <w:pPr>
        <w:spacing w:after="160" w:line="560" w:lineRule="exact"/>
        <w:ind w:firstLine="640" w:firstLineChars="200"/>
        <w:contextualSpacing/>
        <w:jc w:val="both"/>
        <w:rPr>
          <w:rFonts w:ascii="FangSong_GB2312" w:hAnsi="FangSong_GB2312" w:eastAsia="FangSong_GB2312"/>
          <w:sz w:val="32"/>
          <w:szCs w:val="32"/>
        </w:rPr>
      </w:pPr>
      <w:r>
        <w:rPr>
          <w:rFonts w:ascii="FangSong_GB2312" w:hAnsi="FangSong_GB2312" w:eastAsia="FangSong_GB2312"/>
          <w:sz w:val="32"/>
          <w:szCs w:val="32"/>
        </w:rPr>
        <w:t>1.</w:t>
      </w:r>
      <w:r>
        <w:rPr>
          <w:rFonts w:hint="eastAsia" w:ascii="FangSong_GB2312" w:hAnsi="FangSong_GB2312" w:eastAsia="FangSong_GB2312"/>
          <w:sz w:val="32"/>
          <w:szCs w:val="32"/>
        </w:rPr>
        <w:t>在运动员接受兴奋剂检查期间，不向其提供食物。运动员可以在此期间食用自备的任何食物或饮料，但由此产生的兴奋剂违规风险自负。</w:t>
      </w:r>
    </w:p>
    <w:p>
      <w:pPr>
        <w:spacing w:after="160" w:line="560" w:lineRule="exact"/>
        <w:ind w:firstLine="640" w:firstLineChars="200"/>
        <w:contextualSpacing/>
        <w:jc w:val="both"/>
        <w:rPr>
          <w:rFonts w:ascii="FangSong_GB2312" w:hAnsi="FangSong_GB2312" w:eastAsia="FangSong_GB2312"/>
          <w:sz w:val="32"/>
          <w:szCs w:val="32"/>
        </w:rPr>
      </w:pPr>
      <w:r>
        <w:rPr>
          <w:rFonts w:ascii="FangSong_GB2312" w:hAnsi="FangSong_GB2312" w:eastAsia="FangSong_GB2312"/>
          <w:sz w:val="32"/>
          <w:szCs w:val="32"/>
        </w:rPr>
        <w:t>2.</w:t>
      </w:r>
      <w:r>
        <w:rPr>
          <w:rFonts w:hint="eastAsia" w:ascii="FangSong_GB2312" w:hAnsi="FangSong_GB2312" w:eastAsia="FangSong_GB2312"/>
          <w:sz w:val="32"/>
          <w:szCs w:val="32"/>
        </w:rPr>
        <w:t>如运动员进站报到后需要进食，原则上不允许运动员本人离站就餐或取食品，应由运动员陪同人员负责取送。</w:t>
      </w:r>
    </w:p>
    <w:p>
      <w:pPr>
        <w:spacing w:after="160"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3</w:t>
      </w:r>
      <w:r>
        <w:rPr>
          <w:rFonts w:ascii="FangSong_GB2312" w:hAnsi="FangSong_GB2312" w:eastAsia="FangSong_GB2312"/>
          <w:sz w:val="32"/>
          <w:szCs w:val="32"/>
        </w:rPr>
        <w:t>.</w:t>
      </w:r>
      <w:r>
        <w:rPr>
          <w:rFonts w:hint="eastAsia" w:ascii="FangSong_GB2312" w:hAnsi="FangSong_GB2312" w:eastAsia="FangSong_GB2312"/>
          <w:sz w:val="32"/>
          <w:szCs w:val="32"/>
        </w:rPr>
        <w:t>运动员不得在兴奋剂检查站饮用含有酒精的饮料。</w:t>
      </w:r>
    </w:p>
    <w:p>
      <w:pPr>
        <w:spacing w:after="160"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（二）运动员送返</w:t>
      </w:r>
    </w:p>
    <w:p>
      <w:pPr>
        <w:spacing w:after="160" w:line="560" w:lineRule="exact"/>
        <w:ind w:firstLine="640" w:firstLineChars="200"/>
        <w:contextualSpacing/>
        <w:jc w:val="both"/>
        <w:rPr>
          <w:rFonts w:ascii="FangSong_GB2312" w:hAnsi="FangSong_GB2312" w:eastAsia="FangSong_GB2312"/>
          <w:sz w:val="32"/>
          <w:szCs w:val="32"/>
        </w:rPr>
      </w:pPr>
      <w:r>
        <w:rPr>
          <w:rFonts w:hint="eastAsia" w:ascii="FangSong_GB2312" w:hAnsi="FangSong_GB2312" w:eastAsia="FangSong_GB2312"/>
          <w:sz w:val="32"/>
          <w:szCs w:val="32"/>
        </w:rPr>
        <w:t>赛事期间，运动员检查结束后，如其代表队班车已离开，应由场馆交通部门负责将运动员送返驻地，且原则上检查结束后立即送返，不应等候其他受检运动员。此项须纳入场馆交通业务领域政策。</w:t>
      </w:r>
      <w:r>
        <w:rPr>
          <w:rFonts w:ascii="FangSong_GB2312" w:hAnsi="FangSong_GB2312" w:eastAsia="FangSong_GB2312"/>
          <w:sz w:val="32"/>
          <w:szCs w:val="32"/>
        </w:rPr>
        <w:br w:type="page"/>
      </w:r>
    </w:p>
    <w:p>
      <w:pPr>
        <w:contextualSpacing/>
        <w:jc w:val="center"/>
        <w:rPr>
          <w:rFonts w:ascii="宋体" w:hAnsi="宋体" w:eastAsia="宋体"/>
          <w:sz w:val="36"/>
          <w:szCs w:val="36"/>
        </w:rPr>
      </w:pPr>
      <w:r>
        <w:rPr>
          <w:rFonts w:hint="eastAsia" w:ascii="宋体" w:hAnsi="宋体" w:eastAsia="宋体"/>
          <w:sz w:val="36"/>
          <w:szCs w:val="36"/>
        </w:rPr>
        <w:t>兴奋剂检查站标牌、桌签及通行证制作模板</w:t>
      </w:r>
    </w:p>
    <w:p>
      <w:pPr>
        <w:contextualSpacing/>
        <w:jc w:val="center"/>
        <w:rPr>
          <w:rFonts w:asciiTheme="minorEastAsia" w:hAnsiTheme="minorEastAsia"/>
          <w:sz w:val="32"/>
          <w:szCs w:val="32"/>
        </w:rPr>
      </w:pPr>
    </w:p>
    <w:p>
      <w:pPr>
        <w:ind w:firstLine="480" w:firstLineChars="200"/>
        <w:contextualSpacing/>
        <w:rPr>
          <w:rFonts w:ascii="FangSong_GB2312" w:hAnsi="FangSong_GB2312" w:eastAsia="FangSong_GB2312" w:cs="仿宋"/>
          <w:bCs/>
          <w:sz w:val="32"/>
          <w:szCs w:val="32"/>
        </w:rPr>
      </w:pPr>
      <w:r>
        <w:rPr>
          <w:rFonts w:ascii="FangSong_GB2312" w:hAnsi="FangSong_GB2312" w:eastAsia="FangSong_GB2312"/>
        </w:rPr>
        <w:drawing>
          <wp:anchor distT="0" distB="0" distL="114300" distR="114300" simplePos="0" relativeHeight="251659264" behindDoc="1" locked="0" layoutInCell="1" allowOverlap="1">
            <wp:simplePos x="0" y="0"/>
            <wp:positionH relativeFrom="column">
              <wp:posOffset>3435350</wp:posOffset>
            </wp:positionH>
            <wp:positionV relativeFrom="paragraph">
              <wp:posOffset>382905</wp:posOffset>
            </wp:positionV>
            <wp:extent cx="1572260" cy="2096135"/>
            <wp:effectExtent l="19050" t="19050" r="28575" b="19050"/>
            <wp:wrapNone/>
            <wp:docPr id="5" name="图片 5" descr="A sign on a blu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sign on a blue background&#10;&#10;Description automatically generated"/>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572117" cy="2096028"/>
                    </a:xfrm>
                    <a:prstGeom prst="rect">
                      <a:avLst/>
                    </a:prstGeom>
                    <a:ln>
                      <a:solidFill>
                        <a:schemeClr val="tx2"/>
                      </a:solidFill>
                    </a:ln>
                  </pic:spPr>
                </pic:pic>
              </a:graphicData>
            </a:graphic>
          </wp:anchor>
        </w:drawing>
      </w:r>
      <w:r>
        <w:rPr>
          <w:rFonts w:hint="eastAsia" w:ascii="FangSong_GB2312" w:hAnsi="FangSong_GB2312" w:eastAsia="FangSong_GB2312" w:cs="仿宋"/>
          <w:bCs/>
          <w:sz w:val="32"/>
          <w:szCs w:val="32"/>
        </w:rPr>
        <w:t>一、兴奋剂检查站标牌（建议尺寸：</w:t>
      </w:r>
      <w:r>
        <w:rPr>
          <w:rFonts w:ascii="FangSong_GB2312" w:hAnsi="FangSong_GB2312" w:eastAsia="FangSong_GB2312" w:cs="仿宋"/>
          <w:bCs/>
          <w:sz w:val="32"/>
          <w:szCs w:val="32"/>
        </w:rPr>
        <w:t>30cm*40cm</w:t>
      </w:r>
      <w:r>
        <w:rPr>
          <w:rFonts w:hint="eastAsia" w:ascii="FangSong_GB2312" w:hAnsi="FangSong_GB2312" w:eastAsia="FangSong_GB2312" w:cs="仿宋"/>
          <w:bCs/>
          <w:sz w:val="32"/>
          <w:szCs w:val="32"/>
        </w:rPr>
        <w:t>）</w:t>
      </w:r>
    </w:p>
    <w:p>
      <w:pPr>
        <w:contextualSpacing/>
        <w:rPr>
          <w:rFonts w:ascii="华文仿宋" w:hAnsi="华文仿宋" w:eastAsia="华文仿宋"/>
          <w:sz w:val="32"/>
          <w:szCs w:val="32"/>
        </w:rPr>
      </w:pPr>
      <w:r>
        <w:rPr>
          <w:rFonts w:ascii="华文仿宋" w:hAnsi="华文仿宋" w:eastAsia="华文仿宋"/>
          <w:sz w:val="32"/>
          <w:szCs w:val="32"/>
        </w:rPr>
        <w:drawing>
          <wp:inline distT="0" distB="0" distL="0" distR="0">
            <wp:extent cx="2456180" cy="1842135"/>
            <wp:effectExtent l="19050" t="19050" r="20320" b="24765"/>
            <wp:docPr id="9" name="图片 9" descr="A blue and white sign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 blue and white sign with black text&#10;&#10;Description automatically generated"/>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473494" cy="1855120"/>
                    </a:xfrm>
                    <a:prstGeom prst="rect">
                      <a:avLst/>
                    </a:prstGeom>
                    <a:ln>
                      <a:solidFill>
                        <a:schemeClr val="tx2"/>
                      </a:solidFill>
                    </a:ln>
                  </pic:spPr>
                </pic:pic>
              </a:graphicData>
            </a:graphic>
          </wp:inline>
        </w:drawing>
      </w:r>
      <w:r>
        <w:rPr>
          <w:rFonts w:ascii="华文仿宋" w:hAnsi="华文仿宋" w:eastAsia="华文仿宋"/>
          <w:sz w:val="32"/>
          <w:szCs w:val="32"/>
        </w:rPr>
        <w:t xml:space="preserve">  </w:t>
      </w:r>
    </w:p>
    <w:p>
      <w:pPr>
        <w:contextualSpacing/>
        <w:rPr>
          <w:rFonts w:ascii="华文仿宋" w:hAnsi="华文仿宋" w:eastAsia="华文仿宋"/>
          <w:sz w:val="32"/>
          <w:szCs w:val="32"/>
        </w:rPr>
      </w:pPr>
      <w:r>
        <w:rPr>
          <w:rFonts w:ascii="华文仿宋" w:hAnsi="华文仿宋" w:eastAsia="华文仿宋"/>
          <w:sz w:val="32"/>
          <w:szCs w:val="32"/>
        </w:rPr>
        <w:drawing>
          <wp:anchor distT="0" distB="0" distL="114300" distR="114300" simplePos="0" relativeHeight="251660288" behindDoc="1" locked="0" layoutInCell="1" allowOverlap="1">
            <wp:simplePos x="0" y="0"/>
            <wp:positionH relativeFrom="column">
              <wp:posOffset>3422650</wp:posOffset>
            </wp:positionH>
            <wp:positionV relativeFrom="paragraph">
              <wp:posOffset>396875</wp:posOffset>
            </wp:positionV>
            <wp:extent cx="1612900" cy="2150745"/>
            <wp:effectExtent l="19050" t="19050" r="25400" b="20955"/>
            <wp:wrapTight wrapText="bothSides">
              <wp:wrapPolygon>
                <wp:start x="-255" y="-191"/>
                <wp:lineTo x="-255" y="21619"/>
                <wp:lineTo x="21685" y="21619"/>
                <wp:lineTo x="21685" y="-191"/>
                <wp:lineTo x="-255" y="-191"/>
              </wp:wrapPolygon>
            </wp:wrapTight>
            <wp:docPr id="8" name="图片 8" descr="A sign on a blu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sign on a blue background&#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12900" cy="2150745"/>
                    </a:xfrm>
                    <a:prstGeom prst="rect">
                      <a:avLst/>
                    </a:prstGeom>
                    <a:ln>
                      <a:solidFill>
                        <a:schemeClr val="tx2"/>
                      </a:solidFill>
                    </a:ln>
                  </pic:spPr>
                </pic:pic>
              </a:graphicData>
            </a:graphic>
          </wp:anchor>
        </w:drawing>
      </w:r>
    </w:p>
    <w:p>
      <w:pPr>
        <w:contextualSpacing/>
        <w:rPr>
          <w:rFonts w:ascii="华文仿宋" w:hAnsi="华文仿宋" w:eastAsia="华文仿宋"/>
          <w:sz w:val="32"/>
          <w:szCs w:val="32"/>
        </w:rPr>
      </w:pPr>
      <w:r>
        <w:rPr>
          <w:rFonts w:ascii="华文仿宋" w:hAnsi="华文仿宋" w:eastAsia="华文仿宋"/>
          <w:sz w:val="32"/>
          <w:szCs w:val="32"/>
        </w:rPr>
        <w:drawing>
          <wp:inline distT="0" distB="0" distL="0" distR="0">
            <wp:extent cx="2508885" cy="1881505"/>
            <wp:effectExtent l="19050" t="19050" r="24765" b="2349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30943" cy="1898207"/>
                    </a:xfrm>
                    <a:prstGeom prst="rect">
                      <a:avLst/>
                    </a:prstGeom>
                    <a:ln>
                      <a:solidFill>
                        <a:schemeClr val="tx2"/>
                      </a:solidFill>
                    </a:ln>
                  </pic:spPr>
                </pic:pic>
              </a:graphicData>
            </a:graphic>
          </wp:inline>
        </w:drawing>
      </w:r>
      <w:r>
        <w:rPr>
          <w:rFonts w:ascii="华文仿宋" w:hAnsi="华文仿宋" w:eastAsia="华文仿宋"/>
          <w:sz w:val="32"/>
          <w:szCs w:val="32"/>
        </w:rPr>
        <w:t xml:space="preserve">  </w:t>
      </w:r>
    </w:p>
    <w:p>
      <w:pPr>
        <w:ind w:firstLine="598" w:firstLineChars="187"/>
        <w:contextualSpacing/>
        <w:rPr>
          <w:rFonts w:ascii="华文仿宋" w:hAnsi="华文仿宋"/>
          <w:sz w:val="32"/>
          <w:szCs w:val="32"/>
        </w:rPr>
      </w:pPr>
      <w:r>
        <w:rPr>
          <w:rFonts w:ascii="华文仿宋" w:hAnsi="华文仿宋" w:eastAsia="华文仿宋"/>
          <w:sz w:val="32"/>
          <w:szCs w:val="32"/>
        </w:rPr>
        <w:t xml:space="preserve">  </w:t>
      </w:r>
    </w:p>
    <w:p>
      <w:pPr>
        <w:contextualSpacing/>
        <w:rPr>
          <w:rFonts w:ascii="仿宋" w:hAnsi="仿宋" w:eastAsia="仿宋" w:cs="仿宋"/>
          <w:bCs/>
          <w:sz w:val="32"/>
          <w:szCs w:val="32"/>
        </w:rPr>
      </w:pPr>
      <w:r>
        <w:rPr>
          <w:rFonts w:ascii="华文仿宋" w:hAnsi="华文仿宋" w:eastAsia="华文仿宋"/>
          <w:sz w:val="32"/>
          <w:szCs w:val="32"/>
        </w:rPr>
        <w:t xml:space="preserve">  </w:t>
      </w:r>
      <w:r>
        <w:rPr>
          <w:rFonts w:ascii="华文仿宋" w:hAnsi="华文仿宋" w:eastAsia="华文仿宋"/>
          <w:sz w:val="32"/>
          <w:szCs w:val="32"/>
        </w:rPr>
        <w:drawing>
          <wp:inline distT="0" distB="0" distL="0" distR="0">
            <wp:extent cx="2562860" cy="1922145"/>
            <wp:effectExtent l="19050" t="19050" r="27940" b="2095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67055" cy="1925292"/>
                    </a:xfrm>
                    <a:prstGeom prst="rect">
                      <a:avLst/>
                    </a:prstGeom>
                    <a:ln>
                      <a:solidFill>
                        <a:schemeClr val="tx1"/>
                      </a:solidFill>
                    </a:ln>
                  </pic:spPr>
                </pic:pic>
              </a:graphicData>
            </a:graphic>
          </wp:inline>
        </w:drawing>
      </w:r>
      <w:r>
        <w:rPr>
          <w:rFonts w:ascii="华文仿宋" w:hAnsi="华文仿宋" w:eastAsia="华文仿宋"/>
          <w:sz w:val="32"/>
          <w:szCs w:val="32"/>
        </w:rPr>
        <w:t xml:space="preserve">       </w:t>
      </w:r>
      <w:r>
        <w:rPr>
          <w:rFonts w:hint="eastAsia" w:ascii="华文仿宋" w:hAnsi="华文仿宋" w:eastAsia="华文仿宋"/>
          <w:sz w:val="32"/>
          <w:szCs w:val="32"/>
        </w:rPr>
        <w:t xml:space="preserve">      </w:t>
      </w:r>
      <w:r>
        <w:rPr>
          <w:rFonts w:ascii="华文仿宋" w:hAnsi="华文仿宋" w:eastAsia="华文仿宋"/>
          <w:sz w:val="32"/>
          <w:szCs w:val="32"/>
        </w:rPr>
        <w:t xml:space="preserve"> </w:t>
      </w:r>
      <w:r>
        <w:rPr>
          <w:rFonts w:ascii="华文仿宋" w:hAnsi="华文仿宋" w:eastAsia="华文仿宋"/>
          <w:sz w:val="32"/>
          <w:szCs w:val="32"/>
        </w:rPr>
        <w:drawing>
          <wp:inline distT="0" distB="0" distL="0" distR="0">
            <wp:extent cx="1570355" cy="2093595"/>
            <wp:effectExtent l="19050" t="19050" r="10795" b="20955"/>
            <wp:docPr id="6" name="图片 6" descr="A sign with a finger in a circle and a red circle with a red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sign with a finger in a circle and a red circle with a red and white text&#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592834" cy="2123651"/>
                    </a:xfrm>
                    <a:prstGeom prst="rect">
                      <a:avLst/>
                    </a:prstGeom>
                    <a:ln>
                      <a:solidFill>
                        <a:schemeClr val="tx2"/>
                      </a:solidFill>
                    </a:ln>
                  </pic:spPr>
                </pic:pic>
              </a:graphicData>
            </a:graphic>
          </wp:inline>
        </w:drawing>
      </w:r>
    </w:p>
    <w:p>
      <w:pPr>
        <w:ind w:left="607"/>
        <w:contextualSpacing/>
        <w:rPr>
          <w:rFonts w:ascii="FangSong_GB2312" w:hAnsi="FangSong_GB2312" w:eastAsia="FangSong_GB2312" w:cs="仿宋"/>
          <w:bCs/>
          <w:sz w:val="32"/>
          <w:szCs w:val="32"/>
        </w:rPr>
      </w:pPr>
      <w:r>
        <w:rPr>
          <w:rFonts w:hint="eastAsia" w:ascii="FangSong_GB2312" w:hAnsi="FangSong_GB2312" w:eastAsia="FangSong_GB2312" w:cs="仿宋"/>
          <w:bCs/>
          <w:sz w:val="32"/>
          <w:szCs w:val="32"/>
        </w:rPr>
        <w:t>二、兴奋剂检查站桌签（建议尺寸：</w:t>
      </w:r>
      <w:r>
        <w:rPr>
          <w:rFonts w:ascii="FangSong_GB2312" w:hAnsi="FangSong_GB2312" w:eastAsia="FangSong_GB2312" w:cs="仿宋"/>
          <w:bCs/>
          <w:sz w:val="32"/>
          <w:szCs w:val="32"/>
        </w:rPr>
        <w:t>23cm*14cm</w:t>
      </w:r>
      <w:r>
        <w:rPr>
          <w:rFonts w:hint="eastAsia" w:ascii="FangSong_GB2312" w:hAnsi="FangSong_GB2312" w:eastAsia="FangSong_GB2312" w:cs="仿宋"/>
          <w:bCs/>
          <w:sz w:val="32"/>
          <w:szCs w:val="32"/>
        </w:rPr>
        <w:t>）</w:t>
      </w:r>
    </w:p>
    <w:p>
      <w:pPr>
        <w:contextualSpacing/>
        <w:rPr>
          <w:rFonts w:ascii="华文仿宋" w:hAnsi="华文仿宋" w:eastAsia="华文仿宋"/>
          <w:sz w:val="32"/>
          <w:szCs w:val="32"/>
        </w:rPr>
      </w:pPr>
    </w:p>
    <w:p>
      <w:pPr>
        <w:contextualSpacing/>
        <w:rPr>
          <w:rFonts w:ascii="华文仿宋" w:hAnsi="华文仿宋" w:eastAsia="华文仿宋"/>
          <w:sz w:val="32"/>
          <w:szCs w:val="32"/>
        </w:rPr>
      </w:pPr>
      <w:r>
        <w:rPr>
          <w:rFonts w:ascii="华文仿宋" w:hAnsi="华文仿宋" w:eastAsia="华文仿宋"/>
          <w:sz w:val="32"/>
          <w:szCs w:val="32"/>
        </w:rPr>
        <w:drawing>
          <wp:inline distT="0" distB="0" distL="0" distR="0">
            <wp:extent cx="1621155" cy="1019175"/>
            <wp:effectExtent l="19050" t="19050" r="17145" b="28575"/>
            <wp:docPr id="14" name="图片 14" descr="A blue and white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A blue and white sign&#10;&#10;Description automatically generated"/>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627405" cy="1023198"/>
                    </a:xfrm>
                    <a:prstGeom prst="rect">
                      <a:avLst/>
                    </a:prstGeom>
                    <a:ln>
                      <a:solidFill>
                        <a:schemeClr val="tx2"/>
                      </a:solidFill>
                    </a:ln>
                  </pic:spPr>
                </pic:pic>
              </a:graphicData>
            </a:graphic>
          </wp:inline>
        </w:drawing>
      </w:r>
      <w:r>
        <w:rPr>
          <w:rFonts w:ascii="华文仿宋" w:hAnsi="华文仿宋" w:eastAsia="华文仿宋"/>
          <w:sz w:val="32"/>
          <w:szCs w:val="32"/>
        </w:rPr>
        <w:t xml:space="preserve"> </w:t>
      </w:r>
      <w:r>
        <w:rPr>
          <w:rFonts w:ascii="华文仿宋" w:hAnsi="华文仿宋" w:eastAsia="华文仿宋"/>
          <w:sz w:val="32"/>
          <w:szCs w:val="32"/>
        </w:rPr>
        <w:drawing>
          <wp:inline distT="0" distB="0" distL="0" distR="0">
            <wp:extent cx="1635760" cy="1028065"/>
            <wp:effectExtent l="19050" t="19050" r="21590" b="19685"/>
            <wp:docPr id="16" name="图片 16" descr="A blue and white watercolor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A blue and white watercolor background&#10;&#10;Description automatically generated"/>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647316" cy="1035716"/>
                    </a:xfrm>
                    <a:prstGeom prst="rect">
                      <a:avLst/>
                    </a:prstGeom>
                    <a:ln>
                      <a:solidFill>
                        <a:schemeClr val="tx2"/>
                      </a:solidFill>
                    </a:ln>
                  </pic:spPr>
                </pic:pic>
              </a:graphicData>
            </a:graphic>
          </wp:inline>
        </w:drawing>
      </w:r>
      <w:r>
        <w:rPr>
          <w:rFonts w:ascii="华文仿宋" w:hAnsi="华文仿宋" w:eastAsia="华文仿宋"/>
          <w:sz w:val="32"/>
          <w:szCs w:val="32"/>
        </w:rPr>
        <w:t xml:space="preserve"> </w:t>
      </w:r>
      <w:r>
        <w:rPr>
          <w:rFonts w:ascii="华文仿宋" w:hAnsi="华文仿宋" w:eastAsia="华文仿宋"/>
          <w:sz w:val="32"/>
          <w:szCs w:val="32"/>
        </w:rPr>
        <w:drawing>
          <wp:inline distT="0" distB="0" distL="0" distR="0">
            <wp:extent cx="1678940" cy="1055370"/>
            <wp:effectExtent l="19050" t="19050" r="16510" b="11430"/>
            <wp:docPr id="12" name="图片 12" descr="A blue and white watercolor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A blue and white watercolor background&#10;&#10;Description automatically generated"/>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712357" cy="1076608"/>
                    </a:xfrm>
                    <a:prstGeom prst="rect">
                      <a:avLst/>
                    </a:prstGeom>
                    <a:ln>
                      <a:solidFill>
                        <a:schemeClr val="tx2"/>
                      </a:solidFill>
                    </a:ln>
                  </pic:spPr>
                </pic:pic>
              </a:graphicData>
            </a:graphic>
          </wp:inline>
        </w:drawing>
      </w:r>
    </w:p>
    <w:p>
      <w:pPr>
        <w:contextualSpacing/>
        <w:rPr>
          <w:rFonts w:ascii="华文仿宋" w:hAnsi="华文仿宋" w:eastAsia="华文仿宋"/>
          <w:sz w:val="32"/>
          <w:szCs w:val="32"/>
        </w:rPr>
      </w:pPr>
      <w:r>
        <w:rPr>
          <w:rFonts w:ascii="华文仿宋" w:hAnsi="华文仿宋" w:eastAsia="华文仿宋"/>
          <w:sz w:val="32"/>
          <w:szCs w:val="32"/>
        </w:rPr>
        <w:t xml:space="preserve">  </w:t>
      </w:r>
    </w:p>
    <w:p>
      <w:pPr>
        <w:ind w:left="607"/>
        <w:contextualSpacing/>
        <w:rPr>
          <w:rFonts w:ascii="FangSong_GB2312" w:hAnsi="FangSong_GB2312" w:eastAsia="FangSong_GB2312" w:cs="仿宋"/>
          <w:bCs/>
          <w:sz w:val="32"/>
          <w:szCs w:val="32"/>
        </w:rPr>
      </w:pPr>
      <w:r>
        <w:rPr>
          <w:rFonts w:hint="eastAsia" w:ascii="FangSong_GB2312" w:hAnsi="FangSong_GB2312" w:eastAsia="FangSong_GB2312" w:cs="仿宋"/>
          <w:bCs/>
          <w:sz w:val="32"/>
          <w:szCs w:val="32"/>
        </w:rPr>
        <w:t>三、兴奋剂检查站通行证（建议尺寸：</w:t>
      </w:r>
      <w:r>
        <w:rPr>
          <w:rFonts w:ascii="FangSong_GB2312" w:hAnsi="FangSong_GB2312" w:eastAsia="FangSong_GB2312" w:cs="仿宋"/>
          <w:bCs/>
          <w:sz w:val="32"/>
          <w:szCs w:val="32"/>
        </w:rPr>
        <w:t>10cm*14cm</w:t>
      </w:r>
      <w:r>
        <w:rPr>
          <w:rFonts w:hint="eastAsia" w:ascii="FangSong_GB2312" w:hAnsi="FangSong_GB2312" w:eastAsia="FangSong_GB2312" w:cs="仿宋"/>
          <w:bCs/>
          <w:sz w:val="32"/>
          <w:szCs w:val="32"/>
        </w:rPr>
        <w:t>）</w:t>
      </w:r>
    </w:p>
    <w:p>
      <w:pPr>
        <w:pStyle w:val="14"/>
        <w:ind w:left="1327" w:firstLine="0" w:firstLineChars="0"/>
        <w:contextualSpacing/>
        <w:rPr>
          <w:rFonts w:ascii="仿宋" w:hAnsi="仿宋" w:eastAsia="仿宋" w:cs="仿宋"/>
          <w:bCs/>
          <w:sz w:val="32"/>
          <w:szCs w:val="32"/>
        </w:rPr>
      </w:pPr>
    </w:p>
    <w:p>
      <w:pPr>
        <w:contextualSpacing/>
        <w:jc w:val="center"/>
        <w:rPr>
          <w:rFonts w:ascii="华文仿宋" w:hAnsi="华文仿宋" w:eastAsia="华文仿宋"/>
          <w:sz w:val="32"/>
          <w:szCs w:val="32"/>
        </w:rPr>
      </w:pPr>
      <w:r>
        <w:rPr>
          <w:rFonts w:ascii="华文仿宋" w:hAnsi="华文仿宋" w:eastAsia="华文仿宋"/>
          <w:sz w:val="32"/>
          <w:szCs w:val="32"/>
        </w:rPr>
        <w:drawing>
          <wp:inline distT="0" distB="0" distL="0" distR="0">
            <wp:extent cx="1417320" cy="1978660"/>
            <wp:effectExtent l="19050" t="19050" r="11430" b="21590"/>
            <wp:docPr id="17" name="图片 17" descr="A close-up of a pass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A close-up of a passport&#10;&#10;Description automatically generated"/>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422656" cy="1986431"/>
                    </a:xfrm>
                    <a:prstGeom prst="rect">
                      <a:avLst/>
                    </a:prstGeom>
                    <a:ln>
                      <a:solidFill>
                        <a:schemeClr val="tx2"/>
                      </a:solidFill>
                    </a:ln>
                  </pic:spPr>
                </pic:pic>
              </a:graphicData>
            </a:graphic>
          </wp:inline>
        </w:drawing>
      </w:r>
    </w:p>
    <w:p>
      <w:pPr>
        <w:contextualSpacing/>
      </w:pPr>
    </w:p>
    <w:p>
      <w:pPr>
        <w:contextualSpacing/>
      </w:pPr>
    </w:p>
    <w:p>
      <w:pPr>
        <w:spacing w:after="160"/>
        <w:ind w:firstLine="640" w:firstLineChars="200"/>
        <w:contextualSpacing/>
        <w:rPr>
          <w:rFonts w:ascii="FangSong_GB2312" w:hAnsi="FangSong_GB2312" w:eastAsia="FangSong_GB2312"/>
          <w:sz w:val="32"/>
          <w:szCs w:val="32"/>
        </w:rPr>
      </w:pPr>
    </w:p>
    <w:p>
      <w:pPr>
        <w:spacing w:after="160"/>
        <w:ind w:firstLine="640" w:firstLineChars="200"/>
        <w:contextualSpacing/>
        <w:rPr>
          <w:rFonts w:ascii="FangSong_GB2312" w:hAnsi="FangSong_GB2312" w:eastAsia="FangSong_GB2312"/>
          <w:sz w:val="32"/>
          <w:szCs w:val="32"/>
        </w:rPr>
      </w:pPr>
    </w:p>
    <w:p>
      <w:pPr>
        <w:rPr>
          <w:rFonts w:ascii="FangSong_GB2312" w:hAnsi="FangSong_GB2312" w:eastAsia="FangSong_GB2312" w:cs="FangSong_GB2312"/>
          <w:sz w:val="32"/>
          <w:szCs w:val="32"/>
        </w:rPr>
      </w:pPr>
      <w:bookmarkStart w:id="0" w:name="_GoBack"/>
      <w:bookmarkEnd w:id="0"/>
    </w:p>
    <w:sectPr>
      <w:footerReference r:id="rId3" w:type="default"/>
      <w:footerReference r:id="rId4" w:type="even"/>
      <w:pgSz w:w="11900" w:h="16840"/>
      <w:pgMar w:top="1440" w:right="1440" w:bottom="1440" w:left="1440" w:header="708" w:footer="708" w:gutter="0"/>
      <w:pgNumType w:fmt="numberInDash"/>
      <w:cols w:space="708" w:num="1"/>
      <w:titlePg/>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FangSong_GB2312">
    <w:altName w:val="仿宋_GB2312"/>
    <w:panose1 w:val="02010609030101010101"/>
    <w:charset w:val="86"/>
    <w:family w:val="modern"/>
    <w:pitch w:val="default"/>
    <w:sig w:usb0="00000000" w:usb1="00000000" w:usb2="00000010" w:usb3="00000000" w:csb0="00040001" w:csb1="00000000"/>
  </w:font>
  <w:font w:name="仿宋_GB2312">
    <w:panose1 w:val="02010609030101010101"/>
    <w:charset w:val="86"/>
    <w:family w:val="auto"/>
    <w:pitch w:val="default"/>
    <w:sig w:usb0="00000001" w:usb1="080E0000" w:usb2="00000000" w:usb3="00000000" w:csb0="00040000" w:csb1="00000000"/>
  </w:font>
  <w:font w:name="华文仿宋">
    <w:panose1 w:val="02010600040101010101"/>
    <w:charset w:val="86"/>
    <w:family w:val="auto"/>
    <w:pitch w:val="default"/>
    <w:sig w:usb0="00000287" w:usb1="080F0000" w:usb2="00000000" w:usb3="00000000" w:csb0="0004009F" w:csb1="DFD70000"/>
  </w:font>
  <w:font w:name="KaiTi_GB2312">
    <w:altName w:val="楷体"/>
    <w:panose1 w:val="020B0604020202020204"/>
    <w:charset w:val="86"/>
    <w:family w:val="modern"/>
    <w:pitch w:val="default"/>
    <w:sig w:usb0="00000000" w:usb1="00000000" w:usb2="00000010" w:usb3="00000000" w:csb0="00040001"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Style w:val="10"/>
        <w:rFonts w:ascii="FangSong_GB2312" w:hAnsi="FangSong_GB2312" w:eastAsia="FangSong_GB2312"/>
        <w:sz w:val="32"/>
        <w:szCs w:val="32"/>
      </w:rPr>
      <w:id w:val="1562059467"/>
      <w:docPartObj>
        <w:docPartGallery w:val="AutoText"/>
      </w:docPartObj>
    </w:sdtPr>
    <w:sdtEndPr>
      <w:rPr>
        <w:rStyle w:val="10"/>
        <w:rFonts w:ascii="FangSong_GB2312" w:hAnsi="FangSong_GB2312" w:eastAsia="FangSong_GB2312"/>
        <w:sz w:val="32"/>
        <w:szCs w:val="32"/>
      </w:rPr>
    </w:sdtEndPr>
    <w:sdtContent>
      <w:p>
        <w:pPr>
          <w:pStyle w:val="4"/>
          <w:framePr w:wrap="auto" w:vAnchor="text" w:hAnchor="margin" w:xAlign="right" w:y="1"/>
          <w:rPr>
            <w:rStyle w:val="10"/>
            <w:rFonts w:ascii="FangSong_GB2312" w:hAnsi="FangSong_GB2312" w:eastAsia="FangSong_GB2312"/>
            <w:sz w:val="32"/>
            <w:szCs w:val="32"/>
          </w:rPr>
        </w:pPr>
        <w:r>
          <w:rPr>
            <w:rStyle w:val="10"/>
            <w:rFonts w:ascii="FangSong_GB2312" w:hAnsi="FangSong_GB2312" w:eastAsia="FangSong_GB2312"/>
            <w:sz w:val="32"/>
            <w:szCs w:val="32"/>
          </w:rPr>
          <w:fldChar w:fldCharType="begin"/>
        </w:r>
        <w:r>
          <w:rPr>
            <w:rStyle w:val="10"/>
            <w:rFonts w:ascii="FangSong_GB2312" w:hAnsi="FangSong_GB2312" w:eastAsia="FangSong_GB2312"/>
            <w:sz w:val="32"/>
            <w:szCs w:val="32"/>
          </w:rPr>
          <w:instrText xml:space="preserve"> PAGE </w:instrText>
        </w:r>
        <w:r>
          <w:rPr>
            <w:rStyle w:val="10"/>
            <w:rFonts w:ascii="FangSong_GB2312" w:hAnsi="FangSong_GB2312" w:eastAsia="FangSong_GB2312"/>
            <w:sz w:val="32"/>
            <w:szCs w:val="32"/>
          </w:rPr>
          <w:fldChar w:fldCharType="separate"/>
        </w:r>
        <w:r>
          <w:rPr>
            <w:rStyle w:val="10"/>
            <w:rFonts w:ascii="FangSong_GB2312" w:hAnsi="FangSong_GB2312" w:eastAsia="FangSong_GB2312"/>
            <w:sz w:val="32"/>
            <w:szCs w:val="32"/>
          </w:rPr>
          <w:t>- 1 -</w:t>
        </w:r>
        <w:r>
          <w:rPr>
            <w:rStyle w:val="10"/>
            <w:rFonts w:ascii="FangSong_GB2312" w:hAnsi="FangSong_GB2312" w:eastAsia="FangSong_GB2312"/>
            <w:sz w:val="32"/>
            <w:szCs w:val="32"/>
          </w:rPr>
          <w:fldChar w:fldCharType="end"/>
        </w:r>
      </w:p>
    </w:sdtContent>
  </w:sdt>
  <w:p>
    <w:pPr>
      <w:pStyle w:val="4"/>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Style w:val="10"/>
      </w:rPr>
      <w:id w:val="725265015"/>
      <w:docPartObj>
        <w:docPartGallery w:val="AutoText"/>
      </w:docPartObj>
    </w:sdtPr>
    <w:sdtEndPr>
      <w:rPr>
        <w:rStyle w:val="10"/>
      </w:rPr>
    </w:sdtEndPr>
    <w:sdtContent>
      <w:p>
        <w:pPr>
          <w:pStyle w:val="4"/>
          <w:framePr w:wrap="auto" w:vAnchor="text" w:hAnchor="margin" w:xAlign="right" w:y="1"/>
          <w:rPr>
            <w:rStyle w:val="10"/>
          </w:rPr>
        </w:pPr>
        <w:r>
          <w:rPr>
            <w:rStyle w:val="10"/>
          </w:rPr>
          <w:fldChar w:fldCharType="begin"/>
        </w:r>
        <w:r>
          <w:rPr>
            <w:rStyle w:val="10"/>
          </w:rPr>
          <w:instrText xml:space="preserve"> PAGE </w:instrText>
        </w:r>
        <w:r>
          <w:rPr>
            <w:rStyle w:val="10"/>
          </w:rPr>
          <w:fldChar w:fldCharType="separate"/>
        </w:r>
        <w:r>
          <w:rPr>
            <w:rStyle w:val="10"/>
          </w:rPr>
          <w:t>- 1 -</w:t>
        </w:r>
        <w:r>
          <w:rPr>
            <w:rStyle w:val="10"/>
          </w:rPr>
          <w:fldChar w:fldCharType="end"/>
        </w:r>
      </w:p>
    </w:sdtContent>
  </w:sdt>
  <w:p>
    <w:pPr>
      <w:pStyle w:val="4"/>
      <w:ind w:right="360"/>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bordersDoNotSurroundHeader w:val="1"/>
  <w:bordersDoNotSurroundFooter w:val="1"/>
  <w:attachedTemplate r:id="rId1"/>
  <w:documentProtection w:enforcement="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6DAC"/>
    <w:rsid w:val="0001454E"/>
    <w:rsid w:val="0003317E"/>
    <w:rsid w:val="00036F37"/>
    <w:rsid w:val="000831BA"/>
    <w:rsid w:val="000B5627"/>
    <w:rsid w:val="000E6DAC"/>
    <w:rsid w:val="001000C7"/>
    <w:rsid w:val="00102252"/>
    <w:rsid w:val="00117E7D"/>
    <w:rsid w:val="00183C01"/>
    <w:rsid w:val="0025544B"/>
    <w:rsid w:val="00257C2C"/>
    <w:rsid w:val="00280344"/>
    <w:rsid w:val="002E0258"/>
    <w:rsid w:val="00311E77"/>
    <w:rsid w:val="00373E90"/>
    <w:rsid w:val="003D5493"/>
    <w:rsid w:val="003F7528"/>
    <w:rsid w:val="0044468B"/>
    <w:rsid w:val="0045009A"/>
    <w:rsid w:val="00476744"/>
    <w:rsid w:val="004B5162"/>
    <w:rsid w:val="004F724C"/>
    <w:rsid w:val="005338AD"/>
    <w:rsid w:val="005406CE"/>
    <w:rsid w:val="005F63E4"/>
    <w:rsid w:val="006C32E3"/>
    <w:rsid w:val="006F3AD4"/>
    <w:rsid w:val="00713E5A"/>
    <w:rsid w:val="007216E2"/>
    <w:rsid w:val="007904E0"/>
    <w:rsid w:val="007A14FF"/>
    <w:rsid w:val="008650A8"/>
    <w:rsid w:val="009148C8"/>
    <w:rsid w:val="00960F19"/>
    <w:rsid w:val="00972099"/>
    <w:rsid w:val="00AC435D"/>
    <w:rsid w:val="00AD4923"/>
    <w:rsid w:val="00B52CFF"/>
    <w:rsid w:val="00B77CAB"/>
    <w:rsid w:val="00B94824"/>
    <w:rsid w:val="00BC106F"/>
    <w:rsid w:val="00C636D7"/>
    <w:rsid w:val="00C80A35"/>
    <w:rsid w:val="00CE3CE6"/>
    <w:rsid w:val="00CE4E39"/>
    <w:rsid w:val="00CF4301"/>
    <w:rsid w:val="00D92A20"/>
    <w:rsid w:val="00E3449D"/>
    <w:rsid w:val="00E52331"/>
    <w:rsid w:val="00E60A1A"/>
    <w:rsid w:val="00E81DBE"/>
    <w:rsid w:val="00E87652"/>
    <w:rsid w:val="00E97275"/>
    <w:rsid w:val="00F0658A"/>
    <w:rsid w:val="00F25F08"/>
    <w:rsid w:val="00FA5445"/>
    <w:rsid w:val="047F2CA7"/>
    <w:rsid w:val="610A6236"/>
    <w:rsid w:val="643D2377"/>
    <w:rsid w:val="67AC18E0"/>
  </w:rsids>
  <m:mathPr>
    <m:mathFont m:val="Cambria Math"/>
    <m:brkBin m:val="before"/>
    <m:brkBinSub m:val="--"/>
    <m:smallFrac m:val="0"/>
    <m:dispDef/>
    <m:lMargin m:val="0"/>
    <m:rMargin m:val="0"/>
    <m:defJc m:val="centerGroup"/>
    <m:wrapIndent m:val="1440"/>
    <m:intLim m:val="subSup"/>
    <m:naryLim m:val="undOvr"/>
  </m:mathPr>
  <w:themeFontLang w:val="zh-CN"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heme="minorHAnsi" w:hAnsiTheme="minorHAnsi" w:eastAsiaTheme="minorEastAsia" w:cstheme="minorBidi"/>
      <w:sz w:val="24"/>
      <w:szCs w:val="24"/>
      <w:lang w:val="zh-CN" w:eastAsia="zh-CN" w:bidi="ar-SA"/>
    </w:rPr>
  </w:style>
  <w:style w:type="paragraph" w:styleId="2">
    <w:name w:val="heading 1"/>
    <w:basedOn w:val="1"/>
    <w:next w:val="1"/>
    <w:link w:val="13"/>
    <w:qFormat/>
    <w:uiPriority w:val="9"/>
    <w:pPr>
      <w:spacing w:before="100" w:beforeAutospacing="1" w:after="100" w:afterAutospacing="1"/>
      <w:outlineLvl w:val="0"/>
    </w:pPr>
    <w:rPr>
      <w:rFonts w:ascii="宋体" w:hAnsi="宋体" w:cs="宋体"/>
      <w:b/>
      <w:bCs/>
      <w:kern w:val="36"/>
      <w:sz w:val="48"/>
      <w:szCs w:val="48"/>
      <w:lang w:val="en-US"/>
    </w:rPr>
  </w:style>
  <w:style w:type="paragraph" w:styleId="3">
    <w:name w:val="heading 4"/>
    <w:basedOn w:val="1"/>
    <w:next w:val="1"/>
    <w:link w:val="16"/>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lang w:val="en-US"/>
    </w:rPr>
  </w:style>
  <w:style w:type="character" w:default="1" w:styleId="9">
    <w:name w:val="Default Paragraph Font"/>
    <w:semiHidden/>
    <w:unhideWhenUsed/>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4">
    <w:name w:val="footer"/>
    <w:basedOn w:val="1"/>
    <w:link w:val="11"/>
    <w:unhideWhenUsed/>
    <w:qFormat/>
    <w:uiPriority w:val="99"/>
    <w:pPr>
      <w:tabs>
        <w:tab w:val="center" w:pos="4680"/>
        <w:tab w:val="right" w:pos="9360"/>
      </w:tabs>
      <w:snapToGrid w:val="0"/>
    </w:pPr>
    <w:rPr>
      <w:sz w:val="18"/>
      <w:szCs w:val="18"/>
    </w:rPr>
  </w:style>
  <w:style w:type="paragraph" w:styleId="5">
    <w:name w:val="header"/>
    <w:basedOn w:val="1"/>
    <w:link w:val="12"/>
    <w:unhideWhenUsed/>
    <w:qFormat/>
    <w:uiPriority w:val="99"/>
    <w:pPr>
      <w:tabs>
        <w:tab w:val="center" w:pos="4680"/>
        <w:tab w:val="right" w:pos="9360"/>
      </w:tabs>
      <w:snapToGrid w:val="0"/>
      <w:jc w:val="center"/>
    </w:pPr>
    <w:rPr>
      <w:sz w:val="18"/>
      <w:szCs w:val="18"/>
    </w:rPr>
  </w:style>
  <w:style w:type="paragraph" w:styleId="6">
    <w:name w:val="HTML Preformatted"/>
    <w:basedOn w:val="1"/>
    <w:link w:val="15"/>
    <w:qFormat/>
    <w:uiPriority w:val="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hint="eastAsia" w:ascii="宋体" w:hAnsi="宋体" w:eastAsia="宋体" w:cs="Times New Roman"/>
      <w:lang w:val="en-US"/>
    </w:rPr>
  </w:style>
  <w:style w:type="table" w:styleId="8">
    <w:name w:val="Table Grid"/>
    <w:basedOn w:val="7"/>
    <w:qFormat/>
    <w:uiPriority w:val="0"/>
    <w:pPr>
      <w:widowControl w:val="0"/>
      <w:jc w:val="both"/>
    </w:pPr>
    <w:rPr>
      <w:rFonts w:ascii="Times New Roman" w:hAnsi="Times New Roman" w:eastAsia="宋体"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page number"/>
    <w:basedOn w:val="9"/>
    <w:semiHidden/>
    <w:unhideWhenUsed/>
    <w:qFormat/>
    <w:uiPriority w:val="99"/>
  </w:style>
  <w:style w:type="character" w:customStyle="1" w:styleId="11">
    <w:name w:val="Footer Char"/>
    <w:basedOn w:val="9"/>
    <w:link w:val="4"/>
    <w:qFormat/>
    <w:uiPriority w:val="99"/>
    <w:rPr>
      <w:sz w:val="18"/>
      <w:szCs w:val="18"/>
    </w:rPr>
  </w:style>
  <w:style w:type="character" w:customStyle="1" w:styleId="12">
    <w:name w:val="Header Char"/>
    <w:basedOn w:val="9"/>
    <w:link w:val="5"/>
    <w:qFormat/>
    <w:uiPriority w:val="99"/>
    <w:rPr>
      <w:sz w:val="18"/>
      <w:szCs w:val="18"/>
    </w:rPr>
  </w:style>
  <w:style w:type="character" w:customStyle="1" w:styleId="13">
    <w:name w:val="Heading 1 Char"/>
    <w:basedOn w:val="9"/>
    <w:link w:val="2"/>
    <w:qFormat/>
    <w:uiPriority w:val="9"/>
    <w:rPr>
      <w:rFonts w:ascii="宋体" w:hAnsi="宋体" w:cs="宋体"/>
      <w:b/>
      <w:bCs/>
      <w:kern w:val="36"/>
      <w:sz w:val="48"/>
      <w:szCs w:val="48"/>
      <w:lang w:val="en-US"/>
    </w:rPr>
  </w:style>
  <w:style w:type="paragraph" w:styleId="14">
    <w:name w:val="List Paragraph"/>
    <w:basedOn w:val="1"/>
    <w:unhideWhenUsed/>
    <w:qFormat/>
    <w:uiPriority w:val="99"/>
    <w:pPr>
      <w:widowControl w:val="0"/>
      <w:ind w:firstLine="420" w:firstLineChars="200"/>
      <w:jc w:val="both"/>
    </w:pPr>
    <w:rPr>
      <w:kern w:val="2"/>
      <w:sz w:val="21"/>
      <w:lang w:val="en-US"/>
    </w:rPr>
  </w:style>
  <w:style w:type="character" w:customStyle="1" w:styleId="15">
    <w:name w:val="HTML Preformatted Char"/>
    <w:basedOn w:val="9"/>
    <w:link w:val="6"/>
    <w:qFormat/>
    <w:uiPriority w:val="0"/>
    <w:rPr>
      <w:rFonts w:ascii="宋体" w:hAnsi="宋体" w:eastAsia="宋体" w:cs="Times New Roman"/>
      <w:lang w:val="en-US"/>
    </w:rPr>
  </w:style>
  <w:style w:type="character" w:customStyle="1" w:styleId="16">
    <w:name w:val="Heading 4 Char"/>
    <w:basedOn w:val="9"/>
    <w:link w:val="3"/>
    <w:semiHidden/>
    <w:qFormat/>
    <w:uiPriority w:val="9"/>
    <w:rPr>
      <w:rFonts w:asciiTheme="majorHAnsi" w:hAnsiTheme="majorHAnsi" w:eastAsiaTheme="majorEastAsia" w:cstheme="majorBidi"/>
      <w:b/>
      <w:bCs/>
      <w:sz w:val="28"/>
      <w:szCs w:val="28"/>
      <w:lang w:val="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weichengzhou\Library\Group%20Containers\UBF8T346G9.Office\User%20Content.localized\Templates.localized\&#20869;&#31614;&#25991;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内签文1.dotx</Template>
  <Pages>44</Pages>
  <Words>2304</Words>
  <Characters>13134</Characters>
  <Lines>109</Lines>
  <Paragraphs>30</Paragraphs>
  <TotalTime>40</TotalTime>
  <ScaleCrop>false</ScaleCrop>
  <LinksUpToDate>false</LinksUpToDate>
  <CharactersWithSpaces>15408</CharactersWithSpaces>
  <Application>WPS Office_11.1.0.11215_F1E327BC-269C-435d-A152-05C5408002CA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2024-06-28T05:20:00Z</dcterms:created>
  <dc:creator>Weicheng Zhou</dc:creator>
  <cp:lastModifiedBy>刘祥彬</cp:lastModifiedBy>
  <cp:lastPrinted>2024-07-02T03:04:00Z</cp:lastPrinted>
  <dcterms:modified xsi:type="dcterms:W3CDTF">2024-07-03T06:36:27Z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2052-11.1.0.11215</vt:lpwstr>
  </property>
  <property fmtid="{D5CDD505-2E9C-101B-9397-08002B2CF9AE}" pid="3" name="ICV">
    <vt:lpwstr>D8784070742A45128DCD2AE4E7F38DC0</vt:lpwstr>
  </property>
</Properties>
</file>