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FangSong_GB2312"/>
          <w:color w:val="000000"/>
          <w:sz w:val="32"/>
          <w:szCs w:val="32"/>
        </w:rPr>
      </w:pPr>
      <w:r>
        <w:rPr>
          <w:rFonts w:hint="eastAsia" w:ascii="黑体" w:hAnsi="黑体" w:eastAsia="黑体" w:cs="FangSong_GB2312"/>
          <w:color w:val="000000"/>
          <w:sz w:val="32"/>
          <w:szCs w:val="32"/>
        </w:rPr>
        <w:t>附件6</w:t>
      </w:r>
    </w:p>
    <w:p>
      <w:pPr>
        <w:rPr>
          <w:rFonts w:ascii="FangSong_GB2312" w:hAnsi="FangSong_GB2312" w:eastAsia="FangSong_GB2312" w:cs="FangSong_GB2312"/>
          <w:color w:val="000000"/>
          <w:sz w:val="32"/>
          <w:szCs w:val="32"/>
        </w:rPr>
      </w:pPr>
    </w:p>
    <w:p>
      <w:pPr>
        <w:widowControl w:val="0"/>
        <w:spacing w:after="160"/>
        <w:contextualSpacing/>
        <w:jc w:val="center"/>
        <w:rPr>
          <w:rFonts w:ascii="宋体" w:hAnsi="宋体" w:eastAsia="宋体"/>
          <w:kern w:val="2"/>
          <w:sz w:val="36"/>
          <w:szCs w:val="36"/>
        </w:rPr>
      </w:pPr>
      <w:r>
        <w:rPr>
          <w:rFonts w:hint="eastAsia" w:ascii="宋体" w:hAnsi="宋体" w:eastAsia="宋体"/>
          <w:kern w:val="2"/>
          <w:sz w:val="36"/>
          <w:szCs w:val="36"/>
        </w:rPr>
        <w:t>兴奋剂检查站工作团队配备标准</w:t>
      </w:r>
    </w:p>
    <w:p>
      <w:pPr>
        <w:widowControl w:val="0"/>
        <w:contextualSpacing/>
        <w:jc w:val="center"/>
        <w:rPr>
          <w:rFonts w:ascii="宋体" w:hAnsi="宋体" w:eastAsia="宋体"/>
        </w:rPr>
      </w:pP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ascii="FangSong_GB2312" w:hAnsi="FangSong_GB2312" w:eastAsia="FangSong_GB2312"/>
          <w:kern w:val="2"/>
          <w:sz w:val="32"/>
          <w:szCs w:val="32"/>
        </w:rPr>
        <w:t>赛事</w:t>
      </w:r>
      <w:r>
        <w:rPr>
          <w:rFonts w:hint="eastAsia" w:ascii="FangSong_GB2312" w:hAnsi="FangSong_GB2312" w:eastAsia="FangSong_GB2312"/>
          <w:kern w:val="2"/>
          <w:sz w:val="32"/>
          <w:szCs w:val="32"/>
        </w:rPr>
        <w:t>期间</w:t>
      </w:r>
      <w:r>
        <w:rPr>
          <w:rFonts w:ascii="FangSong_GB2312" w:hAnsi="FangSong_GB2312" w:eastAsia="FangSong_GB2312"/>
          <w:kern w:val="2"/>
          <w:sz w:val="32"/>
          <w:szCs w:val="32"/>
        </w:rPr>
        <w:t>，为了便于竞赛以及其他工作的组织管理，往往会以竞赛场馆为单位，成立场馆工作团队，负责本场馆赛事各方面工作。场馆兴奋剂检查团队作为场馆工作团队中一部分，负责该场馆竞赛项目的兴奋剂检查工作事宜。由于大型赛事兴奋剂检查工作复杂，为</w:t>
      </w:r>
      <w:r>
        <w:rPr>
          <w:rFonts w:hint="eastAsia" w:ascii="FangSong_GB2312" w:hAnsi="FangSong_GB2312" w:eastAsia="FangSong_GB2312"/>
          <w:kern w:val="2"/>
          <w:sz w:val="32"/>
          <w:szCs w:val="32"/>
        </w:rPr>
        <w:t>做好兴奋剂检查工作团队组建、选派、培训工作，现制定相关标准如下。</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一、团队架构</w:t>
      </w:r>
    </w:p>
    <w:p>
      <w:pPr>
        <w:spacing w:line="560" w:lineRule="exact"/>
        <w:ind w:firstLine="640" w:firstLineChars="200"/>
        <w:jc w:val="both"/>
        <w:rPr>
          <w:rFonts w:ascii="FangSong_GB2312" w:hAnsi="FangSong_GB2312" w:eastAsia="FangSong_GB2312"/>
          <w:sz w:val="32"/>
          <w:szCs w:val="32"/>
        </w:rPr>
      </w:pPr>
      <w:r>
        <w:rPr>
          <w:rFonts w:ascii="FangSong_GB2312" w:hAnsi="FangSong_GB2312" w:eastAsia="FangSong_GB2312"/>
          <w:sz w:val="32"/>
          <w:szCs w:val="32"/>
        </w:rPr>
        <w:t>兴奋剂检查站工作团队由兴奋剂检查站</w:t>
      </w:r>
      <w:r>
        <w:rPr>
          <w:rFonts w:hint="eastAsia" w:ascii="FangSong_GB2312" w:hAnsi="FangSong_GB2312" w:eastAsia="FangSong_GB2312"/>
          <w:sz w:val="32"/>
          <w:szCs w:val="32"/>
        </w:rPr>
        <w:t>经理</w:t>
      </w:r>
      <w:r>
        <w:rPr>
          <w:rFonts w:ascii="FangSong_GB2312" w:hAnsi="FangSong_GB2312" w:eastAsia="FangSong_GB2312"/>
          <w:sz w:val="32"/>
          <w:szCs w:val="32"/>
        </w:rPr>
        <w:t>、陪护员协调主管、场馆协调主管、</w:t>
      </w:r>
      <w:r>
        <w:rPr>
          <w:rFonts w:hint="eastAsia" w:ascii="FangSong_GB2312" w:hAnsi="FangSong_GB2312" w:eastAsia="FangSong_GB2312"/>
          <w:sz w:val="32"/>
          <w:szCs w:val="32"/>
        </w:rPr>
        <w:t>兴奋剂</w:t>
      </w:r>
      <w:r>
        <w:rPr>
          <w:rFonts w:ascii="FangSong_GB2312" w:hAnsi="FangSong_GB2312" w:eastAsia="FangSong_GB2312"/>
          <w:sz w:val="32"/>
          <w:szCs w:val="32"/>
        </w:rPr>
        <w:t>检查官、陪护员志愿者、安保人员、样本传送员（如需）组成。以上岗位具体人员数量配置根据检查项目、检查数量、兴奋剂检查站规模等因素确定。其中，兴奋剂检查站</w:t>
      </w:r>
      <w:r>
        <w:rPr>
          <w:rFonts w:hint="eastAsia" w:ascii="FangSong_GB2312" w:hAnsi="FangSong_GB2312" w:eastAsia="FangSong_GB2312"/>
          <w:sz w:val="32"/>
          <w:szCs w:val="32"/>
        </w:rPr>
        <w:t>经理</w:t>
      </w:r>
      <w:r>
        <w:rPr>
          <w:rFonts w:ascii="FangSong_GB2312" w:hAnsi="FangSong_GB2312" w:eastAsia="FangSong_GB2312"/>
          <w:sz w:val="32"/>
          <w:szCs w:val="32"/>
        </w:rPr>
        <w:t>、陪护员协调主管和</w:t>
      </w:r>
      <w:r>
        <w:rPr>
          <w:rFonts w:hint="eastAsia" w:ascii="FangSong_GB2312" w:hAnsi="FangSong_GB2312" w:eastAsia="FangSong_GB2312"/>
          <w:sz w:val="32"/>
          <w:szCs w:val="32"/>
        </w:rPr>
        <w:t>兴奋剂</w:t>
      </w:r>
      <w:r>
        <w:rPr>
          <w:rFonts w:ascii="FangSong_GB2312" w:hAnsi="FangSong_GB2312" w:eastAsia="FangSong_GB2312"/>
          <w:sz w:val="32"/>
          <w:szCs w:val="32"/>
        </w:rPr>
        <w:t>检查官由</w:t>
      </w:r>
      <w:r>
        <w:rPr>
          <w:rFonts w:hint="eastAsia" w:ascii="FangSong_GB2312" w:hAnsi="FangSong_GB2312" w:eastAsia="FangSong_GB2312"/>
          <w:sz w:val="32"/>
          <w:szCs w:val="32"/>
        </w:rPr>
        <w:t>中国</w:t>
      </w:r>
      <w:r>
        <w:rPr>
          <w:rFonts w:ascii="FangSong_GB2312" w:hAnsi="FangSong_GB2312" w:eastAsia="FangSong_GB2312"/>
          <w:sz w:val="32"/>
          <w:szCs w:val="32"/>
        </w:rPr>
        <w:t>反兴奋剂中心派出，场馆协调主管、志愿者陪护员、安保人员和样本传送员由赛事组织方选派。</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二、工作职责</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（一）中国反兴奋剂中心选派人员</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1.兴奋剂检查站经理：统筹协调全站兴奋剂检查工作，全面管理兴奋剂检查站工作团队；</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2.陪护员协调主管：负责管理陪护员志愿者，组织陪护员志愿者完成通知和陪护工作，并协助管理本站样本采集之外的业务工作；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3.兴奋剂检查官：开展兴奋剂检查，在兴奋剂检查站经理管理下，完成样本采集、样本收存等工作。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（二）赛事组织方选派人员</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1.场馆协调主管：负责后勤保障和场馆协调相关工作，具体承担：</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（1）赛前兴奋剂检查站筹备工作，确保兴奋剂检查站的建设、设施和物资符合要求；与场馆其他业务部门协调兴奋剂检查相关工作事宜；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赛时兴奋剂检查站后勤保障工作，包括负责兴奋剂检查站安全的总体控制；保持兴奋剂检查站的清洁卫生；安排站内工作人员的餐饮、住宿（如需要）；与相关竞赛部门和信息部门联系，及时收集和提供有关比赛的信息；</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（3）赛后人员送返工作，组织安排运送因兴奋剂检查延误的运动员及其代表返回运动员官方指定驻地；安排样本传送车辆和工作人员用车。</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陪护员志愿者：在兴奋剂检查站经理或陪护员协调主管的领导下开展工作，负责通知受检运动员，并陪同运动员到兴奋剂检查站报到；对兴奋剂检查站进出人员进行登记；协助引导准备好提供样本的运动员进入操作间；临时保管运动员参赛证；协助维持站内及进出站登记处秩序。</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w:t>
      </w:r>
      <w:r>
        <w:rPr>
          <w:rFonts w:ascii="FangSong_GB2312" w:hAnsi="FangSong_GB2312" w:eastAsia="FangSong_GB2312"/>
          <w:kern w:val="2"/>
          <w:sz w:val="32"/>
          <w:szCs w:val="32"/>
        </w:rPr>
        <w:t>安保人员：负责在检查工作期间对进站人员进行权限验证</w:t>
      </w:r>
      <w:r>
        <w:rPr>
          <w:rFonts w:hint="eastAsia" w:ascii="FangSong_GB2312" w:hAnsi="FangSong_GB2312" w:eastAsia="FangSong_GB2312"/>
          <w:kern w:val="2"/>
          <w:sz w:val="32"/>
          <w:szCs w:val="32"/>
        </w:rPr>
        <w:t>，</w:t>
      </w:r>
      <w:r>
        <w:rPr>
          <w:rFonts w:ascii="FangSong_GB2312" w:hAnsi="FangSong_GB2312" w:eastAsia="FangSong_GB2312"/>
          <w:kern w:val="2"/>
          <w:sz w:val="32"/>
          <w:szCs w:val="32"/>
        </w:rPr>
        <w:t>协助完成进站秩序的管控。</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4.样本传送员：负责将兴奋剂检查样本传送至指定实验室。</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三</w:t>
      </w:r>
      <w:r>
        <w:rPr>
          <w:rFonts w:ascii="FangSong_GB2312" w:hAnsi="FangSong_GB2312" w:eastAsia="FangSong_GB2312"/>
          <w:kern w:val="2"/>
          <w:sz w:val="32"/>
          <w:szCs w:val="32"/>
        </w:rPr>
        <w:t>、</w:t>
      </w:r>
      <w:r>
        <w:rPr>
          <w:rFonts w:hint="eastAsia" w:ascii="FangSong_GB2312" w:hAnsi="FangSong_GB2312" w:eastAsia="FangSong_GB2312"/>
          <w:kern w:val="2"/>
          <w:sz w:val="32"/>
          <w:szCs w:val="32"/>
        </w:rPr>
        <w:t>赛事组织方选派人员招募和培训要求</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（一）岗位要求</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1.场馆协调主管</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（1）赛事举办地属地工作人员，对反兴奋剂工作有清晰认识；</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（2）工作经验丰富、善于沟通交流，具有较强的责任心和推动力；</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（3）能够尽早到岗，便于完成场站改建以及完成与业务相关部门的各项协调沟通工作。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2.陪护员志愿者</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（1）年满18周岁，建议招募当地高等院校在校生；</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（2）听从指挥，服从管理，能够严格遵守反兴奋剂工作各项纪律要求；</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（3）善于沟通交流、团队协作；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（4）如为国际赛事，志愿者应当熟练掌握英语。</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3.安保人员和样本传送员</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（1）踏实认真，具有较强的责任心；</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（2）时间充裕，在岗工作投入度高；</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（3）服从管理，严格遵守相关规定完成工作。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（二）选派人数</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原则上，每个兴奋剂检查站应配备场馆协调主管1名，安保人员1</w:t>
      </w:r>
      <w:r>
        <w:rPr>
          <w:rFonts w:ascii="FangSong_GB2312" w:hAnsi="FangSong_GB2312" w:eastAsia="FangSong_GB2312"/>
          <w:kern w:val="2"/>
          <w:sz w:val="32"/>
          <w:szCs w:val="32"/>
        </w:rPr>
        <w:t>-2</w:t>
      </w:r>
      <w:r>
        <w:rPr>
          <w:rFonts w:hint="eastAsia" w:ascii="FangSong_GB2312" w:hAnsi="FangSong_GB2312" w:eastAsia="FangSong_GB2312"/>
          <w:kern w:val="2"/>
          <w:sz w:val="32"/>
          <w:szCs w:val="32"/>
        </w:rPr>
        <w:t>名。陪护员志愿者配备数量不低于各场馆项目的检查计划峰值，且性别配比合理。样本传送员根据</w:t>
      </w:r>
      <w:r>
        <w:rPr>
          <w:rFonts w:hint="eastAsia" w:ascii="FangSong_GB2312" w:hAnsi="FangSong_GB2312" w:eastAsia="FangSong_GB2312" w:cs="FangSong_GB2312"/>
          <w:sz w:val="32"/>
          <w:szCs w:val="32"/>
        </w:rPr>
        <w:t>反兴奋剂样本传送方案确定人员配备数量。</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（三）培训要求</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hint="eastAsia" w:ascii="FangSong_GB2312" w:hAnsi="FangSong_GB2312" w:eastAsia="FangSong_GB2312"/>
          <w:kern w:val="2"/>
          <w:sz w:val="32"/>
          <w:szCs w:val="32"/>
        </w:rPr>
        <w:t>1</w:t>
      </w:r>
      <w:r>
        <w:rPr>
          <w:rFonts w:ascii="FangSong_GB2312" w:hAnsi="FangSong_GB2312" w:eastAsia="FangSong_GB2312"/>
          <w:kern w:val="2"/>
          <w:sz w:val="32"/>
          <w:szCs w:val="32"/>
        </w:rPr>
        <w:t>.</w:t>
      </w:r>
      <w:r>
        <w:rPr>
          <w:rFonts w:hint="eastAsia" w:ascii="FangSong_GB2312" w:hAnsi="FangSong_GB2312" w:eastAsia="FangSong_GB2312"/>
          <w:kern w:val="2"/>
          <w:sz w:val="32"/>
          <w:szCs w:val="32"/>
        </w:rPr>
        <w:t>赛事组织方选派人员均应经过培训，考核合格后方可上岗。</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ascii="FangSong_GB2312" w:hAnsi="FangSong_GB2312" w:eastAsia="FangSong_GB2312"/>
          <w:kern w:val="2"/>
          <w:sz w:val="32"/>
          <w:szCs w:val="32"/>
        </w:rPr>
        <w:t>2.</w:t>
      </w:r>
      <w:r>
        <w:rPr>
          <w:rFonts w:hint="eastAsia" w:ascii="FangSong_GB2312" w:hAnsi="FangSong_GB2312" w:eastAsia="FangSong_GB2312"/>
          <w:kern w:val="2"/>
          <w:sz w:val="32"/>
          <w:szCs w:val="32"/>
        </w:rPr>
        <w:t>赛事组织方负责培训会务相关工作，包括</w:t>
      </w:r>
      <w:r>
        <w:rPr>
          <w:rFonts w:hint="eastAsia" w:ascii="FangSong_GB2312" w:hAnsi="FangSong_GB2312" w:eastAsia="FangSong_GB2312"/>
          <w:sz w:val="32"/>
          <w:szCs w:val="32"/>
        </w:rPr>
        <w:t>选择培训地点并落实相关后勤保障工作。</w:t>
      </w:r>
      <w:r>
        <w:rPr>
          <w:rFonts w:hint="eastAsia" w:ascii="FangSong_GB2312" w:hAnsi="FangSong_GB2312" w:eastAsia="FangSong_GB2312"/>
          <w:kern w:val="2"/>
          <w:sz w:val="32"/>
          <w:szCs w:val="32"/>
        </w:rPr>
        <w:t>中国反兴奋剂中心</w:t>
      </w:r>
      <w:r>
        <w:rPr>
          <w:rFonts w:hint="eastAsia" w:ascii="FangSong_GB2312" w:hAnsi="FangSong_GB2312" w:eastAsia="FangSong_GB2312"/>
          <w:sz w:val="32"/>
          <w:szCs w:val="32"/>
        </w:rPr>
        <w:t>负责培训现场实施工作。</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ascii="FangSong_GB2312" w:hAnsi="FangSong_GB2312" w:eastAsia="FangSong_GB2312"/>
          <w:kern w:val="2"/>
          <w:sz w:val="32"/>
          <w:szCs w:val="32"/>
        </w:rPr>
        <w:t>3.</w:t>
      </w:r>
      <w:r>
        <w:rPr>
          <w:rFonts w:hint="eastAsia" w:ascii="FangSong_GB2312" w:hAnsi="FangSong_GB2312" w:eastAsia="FangSong_GB2312"/>
          <w:kern w:val="2"/>
          <w:sz w:val="32"/>
          <w:szCs w:val="32"/>
        </w:rPr>
        <w:t>赛事组织方应当至少提前6个月完成场馆协调主管招募工作，集中各场馆协调主管开展一天现场培训。</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ascii="FangSong_GB2312" w:hAnsi="FangSong_GB2312" w:eastAsia="FangSong_GB2312"/>
          <w:kern w:val="2"/>
          <w:sz w:val="32"/>
          <w:szCs w:val="32"/>
        </w:rPr>
        <w:t>4.</w:t>
      </w:r>
      <w:r>
        <w:rPr>
          <w:rFonts w:hint="eastAsia" w:ascii="FangSong_GB2312" w:hAnsi="FangSong_GB2312" w:eastAsia="FangSong_GB2312"/>
          <w:kern w:val="2"/>
          <w:sz w:val="32"/>
          <w:szCs w:val="32"/>
        </w:rPr>
        <w:t>赛事组织方应当至少提前2个月完成志愿者招募工作，并组织陪护员志愿者通过中国反兴奋剂教育平台完成线上理论培训。运动员村开村前1</w:t>
      </w:r>
      <w:r>
        <w:rPr>
          <w:rFonts w:ascii="FangSong_GB2312" w:hAnsi="FangSong_GB2312" w:eastAsia="FangSong_GB2312"/>
          <w:kern w:val="2"/>
          <w:sz w:val="32"/>
          <w:szCs w:val="32"/>
        </w:rPr>
        <w:t>-2</w:t>
      </w:r>
      <w:r>
        <w:rPr>
          <w:rFonts w:hint="eastAsia" w:ascii="FangSong_GB2312" w:hAnsi="FangSong_GB2312" w:eastAsia="FangSong_GB2312"/>
          <w:kern w:val="2"/>
          <w:sz w:val="32"/>
          <w:szCs w:val="32"/>
        </w:rPr>
        <w:t>天，再次组织志愿者陪护员开展为期一天的现场实操培训。</w:t>
      </w:r>
    </w:p>
    <w:p>
      <w:pPr>
        <w:widowControl w:val="0"/>
        <w:spacing w:after="160" w:line="560" w:lineRule="exact"/>
        <w:ind w:firstLine="640" w:firstLineChars="200"/>
        <w:contextualSpacing/>
        <w:jc w:val="both"/>
        <w:rPr>
          <w:rFonts w:ascii="FangSong_GB2312" w:hAnsi="FangSong_GB2312" w:eastAsia="FangSong_GB2312"/>
          <w:kern w:val="2"/>
          <w:sz w:val="32"/>
          <w:szCs w:val="32"/>
        </w:rPr>
      </w:pPr>
      <w:r>
        <w:rPr>
          <w:rFonts w:ascii="FangSong_GB2312" w:hAnsi="FangSong_GB2312" w:eastAsia="FangSong_GB2312"/>
          <w:kern w:val="2"/>
          <w:sz w:val="32"/>
          <w:szCs w:val="32"/>
        </w:rPr>
        <w:t>5.</w:t>
      </w:r>
      <w:r>
        <w:rPr>
          <w:rFonts w:hint="eastAsia" w:ascii="FangSong_GB2312" w:hAnsi="FangSong_GB2312" w:eastAsia="FangSong_GB2312"/>
          <w:kern w:val="2"/>
          <w:sz w:val="32"/>
          <w:szCs w:val="32"/>
        </w:rPr>
        <w:t>赛时期间，赛事组织方组织对样本传送员的培训。安保人员由各兴奋剂检查站经理到岗后进行培训。</w:t>
      </w:r>
    </w:p>
    <w:p>
      <w:pPr>
        <w:rPr>
          <w:rFonts w:ascii="FangSong_GB2312" w:hAnsi="FangSong_GB2312" w:eastAsia="FangSong_GB2312" w:cs="FangSong_GB2312"/>
          <w:sz w:val="32"/>
          <w:szCs w:val="32"/>
        </w:rPr>
      </w:pPr>
      <w:bookmarkStart w:id="0" w:name="_GoBack"/>
      <w:bookmarkEnd w:id="0"/>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aiTi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047F2CA7"/>
    <w:rsid w:val="1B7A1BF2"/>
    <w:rsid w:val="31700392"/>
    <w:rsid w:val="43781BDA"/>
    <w:rsid w:val="610A6236"/>
    <w:rsid w:val="643D2377"/>
    <w:rsid w:val="67AC18E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qFormat/>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qFormat/>
    <w:uiPriority w:val="99"/>
  </w:style>
  <w:style w:type="character" w:customStyle="1" w:styleId="11">
    <w:name w:val="Footer Char"/>
    <w:basedOn w:val="9"/>
    <w:link w:val="4"/>
    <w:qFormat/>
    <w:uiPriority w:val="99"/>
    <w:rPr>
      <w:sz w:val="18"/>
      <w:szCs w:val="18"/>
    </w:rPr>
  </w:style>
  <w:style w:type="character" w:customStyle="1" w:styleId="12">
    <w:name w:val="Header Char"/>
    <w:basedOn w:val="9"/>
    <w:link w:val="5"/>
    <w:qFormat/>
    <w:uiPriority w:val="99"/>
    <w:rPr>
      <w:sz w:val="18"/>
      <w:szCs w:val="18"/>
    </w:rPr>
  </w:style>
  <w:style w:type="character" w:customStyle="1" w:styleId="13">
    <w:name w:val="Heading 1 Char"/>
    <w:basedOn w:val="9"/>
    <w:link w:val="2"/>
    <w:qFormat/>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qFormat/>
    <w:uiPriority w:val="0"/>
    <w:rPr>
      <w:rFonts w:ascii="宋体" w:hAnsi="宋体" w:eastAsia="宋体" w:cs="Times New Roman"/>
      <w:lang w:val="en-US"/>
    </w:rPr>
  </w:style>
  <w:style w:type="character" w:customStyle="1" w:styleId="16">
    <w:name w:val="Heading 4 Char"/>
    <w:basedOn w:val="9"/>
    <w:link w:val="3"/>
    <w:semiHidden/>
    <w:qFormat/>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43</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2024-07-03T06:39:26Z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58EDC472554543CD9B0F09DA82CE3E08</vt:lpwstr>
  </property>
</Properties>
</file>