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FangSong_GB2312"/>
          <w:color w:val="000000"/>
          <w:sz w:val="32"/>
          <w:szCs w:val="32"/>
        </w:rPr>
      </w:pPr>
      <w:r>
        <w:rPr>
          <w:rFonts w:hint="eastAsia" w:ascii="黑体" w:hAnsi="黑体" w:eastAsia="黑体" w:cs="FangSong_GB2312"/>
          <w:color w:val="000000"/>
          <w:sz w:val="32"/>
          <w:szCs w:val="32"/>
        </w:rPr>
        <w:t>附件7</w:t>
      </w:r>
    </w:p>
    <w:p>
      <w:pPr>
        <w:rPr>
          <w:rFonts w:ascii="FangSong_GB2312" w:hAnsi="FangSong_GB2312" w:eastAsia="FangSong_GB2312" w:cs="FangSong_GB2312"/>
          <w:color w:val="000000"/>
          <w:sz w:val="32"/>
          <w:szCs w:val="32"/>
        </w:rPr>
      </w:pPr>
    </w:p>
    <w:p>
      <w:pPr>
        <w:spacing w:line="560" w:lineRule="exact"/>
        <w:contextualSpacing/>
        <w:jc w:val="center"/>
        <w:rPr>
          <w:rFonts w:ascii="宋体" w:hAnsi="宋体" w:eastAsia="宋体"/>
          <w:sz w:val="36"/>
          <w:szCs w:val="36"/>
        </w:rPr>
      </w:pPr>
      <w:r>
        <w:rPr>
          <w:rFonts w:hint="eastAsia" w:ascii="宋体" w:hAnsi="宋体" w:eastAsia="宋体"/>
          <w:sz w:val="36"/>
          <w:szCs w:val="36"/>
        </w:rPr>
        <w:t>兴奋剂检查样本传送工作标准</w:t>
      </w:r>
    </w:p>
    <w:p>
      <w:pPr>
        <w:spacing w:line="560" w:lineRule="exact"/>
        <w:contextualSpacing/>
        <w:jc w:val="center"/>
        <w:rPr>
          <w:rFonts w:ascii="宋体" w:hAnsi="宋体" w:eastAsia="宋体"/>
          <w:sz w:val="36"/>
          <w:szCs w:val="36"/>
        </w:rPr>
      </w:pPr>
    </w:p>
    <w:p>
      <w:pPr>
        <w:spacing w:line="560" w:lineRule="exact"/>
        <w:ind w:firstLine="640" w:firstLineChars="200"/>
        <w:contextualSpacing/>
        <w:jc w:val="both"/>
        <w:rPr>
          <w:rFonts w:ascii="FangSong_GB2312" w:hAnsi="FangSong_GB2312" w:eastAsia="FangSong_GB2312"/>
          <w:sz w:val="32"/>
          <w:szCs w:val="32"/>
        </w:rPr>
      </w:pPr>
      <w:r>
        <w:rPr>
          <w:rFonts w:hint="eastAsia" w:ascii="FangSong_GB2312" w:hAnsi="FangSong_GB2312" w:eastAsia="FangSong_GB2312"/>
          <w:sz w:val="32"/>
          <w:szCs w:val="32"/>
        </w:rPr>
        <w:t>兴奋剂检查样本传送过程开始于样本离开兴奋剂检查站，结束于样本运抵检测实验室并确认接收，整个过程应确保样本妥善运抵实验室进行必要的检测。具体兴奋剂检查样本传送工作标准如下。</w:t>
      </w:r>
    </w:p>
    <w:p>
      <w:pPr>
        <w:spacing w:line="560" w:lineRule="exact"/>
        <w:ind w:firstLine="640" w:firstLineChars="200"/>
        <w:contextualSpacing/>
        <w:jc w:val="both"/>
        <w:rPr>
          <w:rFonts w:ascii="FangSong_GB2312" w:hAnsi="FangSong_GB2312" w:eastAsia="FangSong_GB2312"/>
          <w:sz w:val="32"/>
          <w:szCs w:val="32"/>
        </w:rPr>
      </w:pPr>
      <w:r>
        <w:rPr>
          <w:rFonts w:hint="eastAsia" w:ascii="FangSong_GB2312" w:hAnsi="FangSong_GB2312" w:eastAsia="FangSong_GB2312"/>
          <w:sz w:val="32"/>
          <w:szCs w:val="32"/>
        </w:rPr>
        <w:t>一、基本原则</w:t>
      </w:r>
    </w:p>
    <w:p>
      <w:pPr>
        <w:spacing w:line="560" w:lineRule="exact"/>
        <w:ind w:firstLine="640" w:firstLineChars="200"/>
        <w:contextualSpacing/>
        <w:jc w:val="both"/>
        <w:rPr>
          <w:rFonts w:ascii="FangSong_GB2312" w:hAnsi="FangSong_GB2312" w:eastAsia="FangSong_GB2312"/>
          <w:sz w:val="32"/>
          <w:szCs w:val="32"/>
        </w:rPr>
      </w:pPr>
      <w:r>
        <w:rPr>
          <w:rFonts w:hint="eastAsia" w:ascii="FangSong_GB2312" w:hAnsi="FangSong_GB2312" w:eastAsia="FangSong_GB2312"/>
          <w:sz w:val="32"/>
          <w:szCs w:val="32"/>
        </w:rPr>
        <w:t>兴奋剂检查样本传送工作应根据《检查和调查国际标准》的相关要求开展，样本的传送方式应能保证样本的一致性、完整性和安全性。</w:t>
      </w:r>
    </w:p>
    <w:p>
      <w:pPr>
        <w:spacing w:line="560" w:lineRule="exact"/>
        <w:ind w:firstLine="640" w:firstLineChars="200"/>
        <w:contextualSpacing/>
        <w:jc w:val="both"/>
        <w:rPr>
          <w:rFonts w:ascii="FangSong_GB2312" w:hAnsi="FangSong_GB2312" w:eastAsia="FangSong_GB2312"/>
          <w:sz w:val="32"/>
          <w:szCs w:val="32"/>
        </w:rPr>
      </w:pPr>
      <w:r>
        <w:rPr>
          <w:rFonts w:hint="eastAsia" w:ascii="FangSong_GB2312" w:hAnsi="FangSong_GB2312" w:eastAsia="FangSong_GB2312"/>
          <w:sz w:val="32"/>
          <w:szCs w:val="32"/>
        </w:rPr>
        <w:t>样本采集环节完成后，样本应当使用中国反兴奋剂中心认可的传送方法，尽快传送到检测实验室。样本的传送方式应当能够最大限度地减少由于时间延误和极端温度变化等因素导致样本品质降低的可能性。</w:t>
      </w:r>
    </w:p>
    <w:p>
      <w:pPr>
        <w:spacing w:line="560" w:lineRule="exact"/>
        <w:ind w:firstLine="640" w:firstLineChars="200"/>
        <w:contextualSpacing/>
        <w:jc w:val="both"/>
        <w:rPr>
          <w:rFonts w:ascii="FangSong_GB2312" w:hAnsi="FangSong_GB2312" w:eastAsia="FangSong_GB2312"/>
          <w:sz w:val="32"/>
          <w:szCs w:val="32"/>
        </w:rPr>
      </w:pPr>
      <w:r>
        <w:rPr>
          <w:rFonts w:hint="eastAsia" w:ascii="FangSong_GB2312" w:hAnsi="FangSong_GB2312" w:eastAsia="FangSong_GB2312"/>
          <w:sz w:val="32"/>
          <w:szCs w:val="32"/>
        </w:rPr>
        <w:t>除兴奋剂检查官、指定的样本传送人员、相关人员（如赛事医学委员会代表等）外，严格禁止其他无关人员接触样本。</w:t>
      </w:r>
    </w:p>
    <w:p>
      <w:pPr>
        <w:spacing w:line="560" w:lineRule="exact"/>
        <w:ind w:firstLine="640" w:firstLineChars="200"/>
        <w:contextualSpacing/>
        <w:jc w:val="both"/>
        <w:rPr>
          <w:rFonts w:ascii="FangSong_GB2312" w:hAnsi="FangSong_GB2312" w:eastAsia="FangSong_GB2312"/>
          <w:sz w:val="32"/>
          <w:szCs w:val="32"/>
        </w:rPr>
      </w:pPr>
      <w:r>
        <w:rPr>
          <w:rFonts w:hint="eastAsia" w:ascii="FangSong_GB2312" w:hAnsi="FangSong_GB2312" w:eastAsia="FangSong_GB2312"/>
          <w:sz w:val="32"/>
          <w:szCs w:val="32"/>
        </w:rPr>
        <w:t>二、传送方式</w:t>
      </w:r>
    </w:p>
    <w:p>
      <w:pPr>
        <w:spacing w:line="560" w:lineRule="exact"/>
        <w:ind w:firstLine="640" w:firstLineChars="200"/>
        <w:contextualSpacing/>
        <w:jc w:val="both"/>
        <w:rPr>
          <w:rFonts w:ascii="FangSong_GB2312" w:hAnsi="FangSong_GB2312" w:eastAsia="FangSong_GB2312"/>
          <w:sz w:val="32"/>
          <w:szCs w:val="32"/>
        </w:rPr>
      </w:pPr>
      <w:r>
        <w:rPr>
          <w:rFonts w:hint="eastAsia" w:ascii="FangSong_GB2312" w:hAnsi="FangSong_GB2312" w:eastAsia="FangSong_GB2312"/>
          <w:sz w:val="32"/>
          <w:szCs w:val="32"/>
        </w:rPr>
        <w:t>中国反兴奋剂中心认可的传送方式有随身携带和第三方传送（快递、冷链），组委会可根据实际情况综合使用。根据规定的样本传送时间，应尽可能在样本采集当天把样本传送到世界反兴奋剂机构认可的实验室。样本可由中国反兴奋剂中心授权的人员随身携带直接送交实验室，或通过第三方传送。传送期间应使用密封卡密封样本传送箱。如果由被授权的传送公司传送样本，应记录运货单编号。如因兴奋剂检查站分布于多个承办城市、交通不便等原因，样本无法从兴奋剂检查站直接送抵检测实验室，组委会可考虑设置样本传送中转站（例如反兴奋剂运行指挥中心）作为样本集中传送地点。</w:t>
      </w:r>
    </w:p>
    <w:p>
      <w:pPr>
        <w:spacing w:line="560" w:lineRule="exact"/>
        <w:ind w:firstLine="640" w:firstLineChars="200"/>
        <w:contextualSpacing/>
        <w:jc w:val="both"/>
        <w:rPr>
          <w:rFonts w:ascii="FangSong_GB2312" w:hAnsi="FangSong_GB2312" w:eastAsia="FangSong_GB2312"/>
          <w:sz w:val="32"/>
          <w:szCs w:val="32"/>
        </w:rPr>
      </w:pPr>
      <w:r>
        <w:rPr>
          <w:rFonts w:hint="eastAsia" w:ascii="FangSong_GB2312" w:hAnsi="FangSong_GB2312" w:eastAsia="FangSong_GB2312"/>
          <w:sz w:val="32"/>
          <w:szCs w:val="32"/>
        </w:rPr>
        <w:t>三、样本传送要求</w:t>
      </w:r>
    </w:p>
    <w:p>
      <w:pPr>
        <w:spacing w:line="560" w:lineRule="exact"/>
        <w:ind w:firstLine="640" w:firstLineChars="200"/>
        <w:contextualSpacing/>
        <w:jc w:val="both"/>
        <w:rPr>
          <w:rFonts w:ascii="FangSong_GB2312" w:hAnsi="FangSong_GB2312" w:eastAsia="FangSong_GB2312"/>
          <w:sz w:val="32"/>
          <w:szCs w:val="32"/>
        </w:rPr>
      </w:pPr>
      <w:r>
        <w:rPr>
          <w:rFonts w:hint="eastAsia" w:ascii="FangSong_GB2312" w:hAnsi="FangSong_GB2312" w:eastAsia="FangSong_GB2312"/>
          <w:sz w:val="32"/>
          <w:szCs w:val="32"/>
        </w:rPr>
        <w:t>（一）尿液样本</w:t>
      </w:r>
    </w:p>
    <w:p>
      <w:pPr>
        <w:spacing w:line="560" w:lineRule="exact"/>
        <w:ind w:firstLine="640" w:firstLineChars="200"/>
        <w:contextualSpacing/>
        <w:jc w:val="both"/>
        <w:rPr>
          <w:rFonts w:ascii="FangSong_GB2312" w:hAnsi="FangSong_GB2312" w:eastAsia="FangSong_GB2312"/>
          <w:sz w:val="32"/>
          <w:szCs w:val="32"/>
        </w:rPr>
      </w:pPr>
      <w:r>
        <w:rPr>
          <w:rFonts w:hint="eastAsia" w:ascii="FangSong_GB2312" w:hAnsi="FangSong_GB2312" w:eastAsia="FangSong_GB2312"/>
          <w:sz w:val="32"/>
          <w:szCs w:val="32"/>
        </w:rPr>
        <w:t>尿液样本可以在室温下传送。如果尿液样本不能立即传送到实验室，应将样本冷藏或冷冻，以降低由于诸如时间推迟和高温环境等因素造成的样本降解。</w:t>
      </w:r>
    </w:p>
    <w:p>
      <w:pPr>
        <w:spacing w:line="560" w:lineRule="exact"/>
        <w:ind w:firstLine="640" w:firstLineChars="200"/>
        <w:contextualSpacing/>
        <w:jc w:val="both"/>
        <w:rPr>
          <w:rFonts w:ascii="FangSong_GB2312" w:hAnsi="FangSong_GB2312" w:eastAsia="FangSong_GB2312"/>
          <w:sz w:val="32"/>
          <w:szCs w:val="32"/>
        </w:rPr>
      </w:pPr>
      <w:r>
        <w:rPr>
          <w:rFonts w:hint="eastAsia" w:ascii="FangSong_GB2312" w:hAnsi="FangSong_GB2312" w:eastAsia="FangSong_GB2312"/>
          <w:sz w:val="32"/>
          <w:szCs w:val="32"/>
        </w:rPr>
        <w:t>（二）血液样本</w:t>
      </w:r>
    </w:p>
    <w:p>
      <w:pPr>
        <w:spacing w:line="560" w:lineRule="exact"/>
        <w:ind w:firstLine="640" w:firstLineChars="200"/>
        <w:contextualSpacing/>
        <w:jc w:val="both"/>
        <w:rPr>
          <w:rFonts w:ascii="FangSong_GB2312" w:hAnsi="FangSong_GB2312" w:eastAsia="FangSong_GB2312"/>
          <w:sz w:val="32"/>
          <w:szCs w:val="32"/>
        </w:rPr>
      </w:pPr>
      <w:r>
        <w:rPr>
          <w:rFonts w:hint="eastAsia" w:ascii="FangSong_GB2312" w:hAnsi="FangSong_GB2312" w:eastAsia="FangSong_GB2312"/>
          <w:sz w:val="32"/>
          <w:szCs w:val="32"/>
        </w:rPr>
        <w:t>1</w:t>
      </w:r>
      <w:r>
        <w:rPr>
          <w:rFonts w:ascii="FangSong_GB2312" w:hAnsi="FangSong_GB2312" w:eastAsia="FangSong_GB2312"/>
          <w:sz w:val="32"/>
          <w:szCs w:val="32"/>
        </w:rPr>
        <w:t>.</w:t>
      </w:r>
      <w:r>
        <w:rPr>
          <w:rFonts w:hint="eastAsia" w:ascii="FangSong_GB2312" w:hAnsi="FangSong_GB2312" w:eastAsia="FangSong_GB2312"/>
          <w:sz w:val="32"/>
          <w:szCs w:val="32"/>
        </w:rPr>
        <w:t>血液样本必须存储在符合规定的环境中（2-12摄氏度）并用Q-tag温控仪记录，其中生物护照血样的温度应严格控制在该范围内。</w:t>
      </w:r>
    </w:p>
    <w:p>
      <w:pPr>
        <w:spacing w:line="560" w:lineRule="exact"/>
        <w:ind w:firstLine="640" w:firstLineChars="200"/>
        <w:contextualSpacing/>
        <w:jc w:val="both"/>
        <w:rPr>
          <w:rFonts w:ascii="FangSong_GB2312" w:hAnsi="FangSong_GB2312" w:eastAsia="FangSong_GB2312"/>
          <w:sz w:val="32"/>
          <w:szCs w:val="32"/>
        </w:rPr>
      </w:pPr>
      <w:r>
        <w:rPr>
          <w:rFonts w:hint="eastAsia" w:ascii="FangSong_GB2312" w:hAnsi="FangSong_GB2312" w:eastAsia="FangSong_GB2312"/>
          <w:sz w:val="32"/>
          <w:szCs w:val="32"/>
        </w:rPr>
        <w:t>2</w:t>
      </w:r>
      <w:r>
        <w:rPr>
          <w:rFonts w:ascii="FangSong_GB2312" w:hAnsi="FangSong_GB2312" w:eastAsia="FangSong_GB2312"/>
          <w:sz w:val="32"/>
          <w:szCs w:val="32"/>
        </w:rPr>
        <w:t>.</w:t>
      </w:r>
      <w:r>
        <w:rPr>
          <w:rFonts w:hint="eastAsia" w:ascii="FangSong_GB2312" w:hAnsi="FangSong_GB2312" w:eastAsia="FangSong_GB2312"/>
          <w:sz w:val="32"/>
          <w:szCs w:val="32"/>
        </w:rPr>
        <w:t>血液样本如使用随身携带的方式进行传送，传送人员乘坐飞机时应带上机舱，不可托运。</w:t>
      </w:r>
    </w:p>
    <w:p>
      <w:pPr>
        <w:spacing w:line="560" w:lineRule="exact"/>
        <w:ind w:firstLine="640" w:firstLineChars="200"/>
        <w:contextualSpacing/>
        <w:jc w:val="both"/>
        <w:rPr>
          <w:rFonts w:ascii="FangSong_GB2312" w:hAnsi="FangSong_GB2312" w:eastAsia="FangSong_GB2312"/>
          <w:sz w:val="32"/>
          <w:szCs w:val="32"/>
        </w:rPr>
      </w:pPr>
      <w:r>
        <w:rPr>
          <w:rFonts w:hint="eastAsia" w:ascii="FangSong_GB2312" w:hAnsi="FangSong_GB2312" w:eastAsia="FangSong_GB2312"/>
          <w:sz w:val="32"/>
          <w:szCs w:val="32"/>
        </w:rPr>
        <w:t>3</w:t>
      </w:r>
      <w:r>
        <w:rPr>
          <w:rFonts w:ascii="FangSong_GB2312" w:hAnsi="FangSong_GB2312" w:eastAsia="FangSong_GB2312"/>
          <w:sz w:val="32"/>
          <w:szCs w:val="32"/>
        </w:rPr>
        <w:t>.</w:t>
      </w:r>
      <w:r>
        <w:rPr>
          <w:rFonts w:hint="eastAsia" w:ascii="FangSong_GB2312" w:hAnsi="FangSong_GB2312" w:eastAsia="FangSong_GB2312"/>
          <w:sz w:val="32"/>
          <w:szCs w:val="32"/>
        </w:rPr>
        <w:t>血液样本在传送过程中的任何时候都要保持直立。</w:t>
      </w:r>
    </w:p>
    <w:p>
      <w:pPr>
        <w:spacing w:line="560" w:lineRule="exact"/>
        <w:ind w:firstLine="640" w:firstLineChars="200"/>
        <w:contextualSpacing/>
        <w:jc w:val="both"/>
        <w:rPr>
          <w:rFonts w:ascii="FangSong_GB2312" w:hAnsi="FangSong_GB2312" w:eastAsia="FangSong_GB2312"/>
          <w:sz w:val="32"/>
          <w:szCs w:val="32"/>
        </w:rPr>
      </w:pPr>
      <w:r>
        <w:rPr>
          <w:rFonts w:hint="eastAsia" w:ascii="FangSong_GB2312" w:hAnsi="FangSong_GB2312" w:eastAsia="FangSong_GB2312"/>
          <w:sz w:val="32"/>
          <w:szCs w:val="32"/>
        </w:rPr>
        <w:t>（三）干血点样本</w:t>
      </w:r>
    </w:p>
    <w:p>
      <w:pPr>
        <w:spacing w:line="560" w:lineRule="exact"/>
        <w:ind w:firstLine="640" w:firstLineChars="200"/>
        <w:contextualSpacing/>
        <w:jc w:val="both"/>
        <w:rPr>
          <w:rFonts w:ascii="FangSong_GB2312" w:hAnsi="FangSong_GB2312" w:eastAsia="FangSong_GB2312"/>
          <w:sz w:val="32"/>
          <w:szCs w:val="32"/>
        </w:rPr>
      </w:pPr>
      <w:r>
        <w:rPr>
          <w:rFonts w:hint="eastAsia" w:ascii="FangSong_GB2312" w:hAnsi="FangSong_GB2312" w:eastAsia="FangSong_GB2312"/>
          <w:sz w:val="32"/>
          <w:szCs w:val="32"/>
        </w:rPr>
        <w:t>1</w:t>
      </w:r>
      <w:r>
        <w:rPr>
          <w:rFonts w:ascii="FangSong_GB2312" w:hAnsi="FangSong_GB2312" w:eastAsia="FangSong_GB2312"/>
          <w:sz w:val="32"/>
          <w:szCs w:val="32"/>
        </w:rPr>
        <w:t>.</w:t>
      </w:r>
      <w:r>
        <w:rPr>
          <w:rFonts w:hint="eastAsia" w:ascii="FangSong_GB2312" w:hAnsi="FangSong_GB2312" w:eastAsia="FangSong_GB2312"/>
          <w:sz w:val="32"/>
          <w:szCs w:val="32"/>
        </w:rPr>
        <w:t>干血点样本可以作为非危险品使用普通邮件或快递服务进行传送，但须遵守任何相关规定。</w:t>
      </w:r>
    </w:p>
    <w:p>
      <w:pPr>
        <w:spacing w:line="560" w:lineRule="exact"/>
        <w:ind w:firstLine="640" w:firstLineChars="200"/>
        <w:contextualSpacing/>
        <w:jc w:val="both"/>
        <w:rPr>
          <w:rFonts w:ascii="FangSong_GB2312" w:hAnsi="FangSong_GB2312" w:eastAsia="FangSong_GB2312"/>
          <w:sz w:val="32"/>
          <w:szCs w:val="32"/>
        </w:rPr>
      </w:pPr>
      <w:r>
        <w:rPr>
          <w:rFonts w:hint="eastAsia" w:ascii="FangSong_GB2312" w:hAnsi="FangSong_GB2312" w:eastAsia="FangSong_GB2312"/>
          <w:sz w:val="32"/>
          <w:szCs w:val="32"/>
        </w:rPr>
        <w:t>2</w:t>
      </w:r>
      <w:r>
        <w:rPr>
          <w:rFonts w:ascii="FangSong_GB2312" w:hAnsi="FangSong_GB2312" w:eastAsia="FangSong_GB2312"/>
          <w:sz w:val="32"/>
          <w:szCs w:val="32"/>
        </w:rPr>
        <w:t>.</w:t>
      </w:r>
      <w:r>
        <w:rPr>
          <w:rFonts w:hint="eastAsia" w:ascii="FangSong_GB2312" w:hAnsi="FangSong_GB2312" w:eastAsia="FangSong_GB2312"/>
          <w:sz w:val="32"/>
          <w:szCs w:val="32"/>
        </w:rPr>
        <w:t>应使用铝箔纸袋传送干血点样本，以保护样本免于光照；传送过程中避免极端温度变化。</w:t>
      </w:r>
    </w:p>
    <w:p>
      <w:pPr>
        <w:spacing w:line="560" w:lineRule="exact"/>
        <w:ind w:firstLine="640" w:firstLineChars="200"/>
        <w:contextualSpacing/>
        <w:jc w:val="both"/>
        <w:rPr>
          <w:rFonts w:ascii="FangSong_GB2312" w:hAnsi="FangSong_GB2312" w:eastAsia="FangSong_GB2312"/>
          <w:sz w:val="32"/>
          <w:szCs w:val="32"/>
        </w:rPr>
      </w:pPr>
      <w:r>
        <w:rPr>
          <w:rFonts w:hint="eastAsia" w:ascii="FangSong_GB2312" w:hAnsi="FangSong_GB2312" w:eastAsia="FangSong_GB2312"/>
          <w:sz w:val="32"/>
          <w:szCs w:val="32"/>
        </w:rPr>
        <w:t>3</w:t>
      </w:r>
      <w:r>
        <w:rPr>
          <w:rFonts w:ascii="FangSong_GB2312" w:hAnsi="FangSong_GB2312" w:eastAsia="FangSong_GB2312"/>
          <w:sz w:val="32"/>
          <w:szCs w:val="32"/>
        </w:rPr>
        <w:t>.</w:t>
      </w:r>
      <w:r>
        <w:rPr>
          <w:rFonts w:hint="eastAsia" w:ascii="FangSong_GB2312" w:hAnsi="FangSong_GB2312" w:eastAsia="FangSong_GB2312"/>
          <w:sz w:val="32"/>
          <w:szCs w:val="32"/>
        </w:rPr>
        <w:t>干血点样本可以在环境温度下传送。如果在同一个样本采集环节中还需采集其他血样，干血点样本也可以冷藏传送。</w:t>
      </w:r>
    </w:p>
    <w:p>
      <w:pPr>
        <w:rPr>
          <w:rFonts w:ascii="FangSong_GB2312" w:hAnsi="FangSong_GB2312" w:eastAsia="FangSong_GB2312" w:cs="FangSong_GB2312"/>
          <w:sz w:val="32"/>
          <w:szCs w:val="32"/>
        </w:rPr>
      </w:pPr>
      <w:bookmarkStart w:id="0" w:name="_GoBack"/>
      <w:bookmarkEnd w:id="0"/>
    </w:p>
    <w:sectPr>
      <w:footerReference r:id="rId3" w:type="default"/>
      <w:footerReference r:id="rId4" w:type="even"/>
      <w:pgSz w:w="11900" w:h="16840"/>
      <w:pgMar w:top="1440" w:right="1440" w:bottom="1440" w:left="1440" w:header="708" w:footer="708" w:gutter="0"/>
      <w:pgNumType w:fmt="numberInDash"/>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FangSong_GB2312">
    <w:altName w:val="仿宋_GB2312"/>
    <w:panose1 w:val="02010609030101010101"/>
    <w:charset w:val="86"/>
    <w:family w:val="modern"/>
    <w:pitch w:val="default"/>
    <w:sig w:usb0="00000000" w:usb1="00000000" w:usb2="00000010"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KaiTi_GB2312">
    <w:altName w:val="楷体"/>
    <w:panose1 w:val="020B0604020202020204"/>
    <w:charset w:val="86"/>
    <w:family w:val="modern"/>
    <w:pitch w:val="default"/>
    <w:sig w:usb0="00000000" w:usb1="00000000" w:usb2="00000010"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0"/>
        <w:rFonts w:ascii="FangSong_GB2312" w:hAnsi="FangSong_GB2312" w:eastAsia="FangSong_GB2312"/>
        <w:sz w:val="32"/>
        <w:szCs w:val="32"/>
      </w:rPr>
      <w:id w:val="1562059467"/>
      <w:docPartObj>
        <w:docPartGallery w:val="AutoText"/>
      </w:docPartObj>
    </w:sdtPr>
    <w:sdtEndPr>
      <w:rPr>
        <w:rStyle w:val="10"/>
        <w:rFonts w:ascii="FangSong_GB2312" w:hAnsi="FangSong_GB2312" w:eastAsia="FangSong_GB2312"/>
        <w:sz w:val="32"/>
        <w:szCs w:val="32"/>
      </w:rPr>
    </w:sdtEndPr>
    <w:sdtContent>
      <w:p>
        <w:pPr>
          <w:pStyle w:val="4"/>
          <w:framePr w:wrap="auto" w:vAnchor="text" w:hAnchor="margin" w:xAlign="right" w:y="1"/>
          <w:rPr>
            <w:rStyle w:val="10"/>
            <w:rFonts w:ascii="FangSong_GB2312" w:hAnsi="FangSong_GB2312" w:eastAsia="FangSong_GB2312"/>
            <w:sz w:val="32"/>
            <w:szCs w:val="32"/>
          </w:rPr>
        </w:pPr>
        <w:r>
          <w:rPr>
            <w:rStyle w:val="10"/>
            <w:rFonts w:ascii="FangSong_GB2312" w:hAnsi="FangSong_GB2312" w:eastAsia="FangSong_GB2312"/>
            <w:sz w:val="32"/>
            <w:szCs w:val="32"/>
          </w:rPr>
          <w:fldChar w:fldCharType="begin"/>
        </w:r>
        <w:r>
          <w:rPr>
            <w:rStyle w:val="10"/>
            <w:rFonts w:ascii="FangSong_GB2312" w:hAnsi="FangSong_GB2312" w:eastAsia="FangSong_GB2312"/>
            <w:sz w:val="32"/>
            <w:szCs w:val="32"/>
          </w:rPr>
          <w:instrText xml:space="preserve"> PAGE </w:instrText>
        </w:r>
        <w:r>
          <w:rPr>
            <w:rStyle w:val="10"/>
            <w:rFonts w:ascii="FangSong_GB2312" w:hAnsi="FangSong_GB2312" w:eastAsia="FangSong_GB2312"/>
            <w:sz w:val="32"/>
            <w:szCs w:val="32"/>
          </w:rPr>
          <w:fldChar w:fldCharType="separate"/>
        </w:r>
        <w:r>
          <w:rPr>
            <w:rStyle w:val="10"/>
            <w:rFonts w:ascii="FangSong_GB2312" w:hAnsi="FangSong_GB2312" w:eastAsia="FangSong_GB2312"/>
            <w:sz w:val="32"/>
            <w:szCs w:val="32"/>
          </w:rPr>
          <w:t>- 1 -</w:t>
        </w:r>
        <w:r>
          <w:rPr>
            <w:rStyle w:val="10"/>
            <w:rFonts w:ascii="FangSong_GB2312" w:hAnsi="FangSong_GB2312" w:eastAsia="FangSong_GB2312"/>
            <w:sz w:val="32"/>
            <w:szCs w:val="32"/>
          </w:rPr>
          <w:fldChar w:fldCharType="end"/>
        </w:r>
      </w:p>
    </w:sdtContent>
  </w:sdt>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0"/>
      </w:rPr>
      <w:id w:val="725265015"/>
      <w:docPartObj>
        <w:docPartGallery w:val="AutoText"/>
      </w:docPartObj>
    </w:sdtPr>
    <w:sdtEndPr>
      <w:rPr>
        <w:rStyle w:val="10"/>
      </w:rPr>
    </w:sdtEndPr>
    <w:sdtContent>
      <w:p>
        <w:pPr>
          <w:pStyle w:val="4"/>
          <w:framePr w:wrap="auto" w:vAnchor="text" w:hAnchor="margin" w:xAlign="right" w:y="1"/>
          <w:rPr>
            <w:rStyle w:val="10"/>
          </w:rPr>
        </w:pPr>
        <w:r>
          <w:rPr>
            <w:rStyle w:val="10"/>
          </w:rPr>
          <w:fldChar w:fldCharType="begin"/>
        </w:r>
        <w:r>
          <w:rPr>
            <w:rStyle w:val="10"/>
          </w:rPr>
          <w:instrText xml:space="preserve"> PAGE </w:instrText>
        </w:r>
        <w:r>
          <w:rPr>
            <w:rStyle w:val="10"/>
          </w:rPr>
          <w:fldChar w:fldCharType="separate"/>
        </w:r>
        <w:r>
          <w:rPr>
            <w:rStyle w:val="10"/>
          </w:rPr>
          <w:t>- 1 -</w:t>
        </w:r>
        <w:r>
          <w:rPr>
            <w:rStyle w:val="10"/>
          </w:rPr>
          <w:fldChar w:fldCharType="end"/>
        </w:r>
      </w:p>
    </w:sdtContent>
  </w:sdt>
  <w:p>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attachedTemplate r:id="rId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DAC"/>
    <w:rsid w:val="0001454E"/>
    <w:rsid w:val="0003317E"/>
    <w:rsid w:val="00036F37"/>
    <w:rsid w:val="000831BA"/>
    <w:rsid w:val="000B5627"/>
    <w:rsid w:val="000E6DAC"/>
    <w:rsid w:val="001000C7"/>
    <w:rsid w:val="00102252"/>
    <w:rsid w:val="00117E7D"/>
    <w:rsid w:val="00183C01"/>
    <w:rsid w:val="0025544B"/>
    <w:rsid w:val="00257C2C"/>
    <w:rsid w:val="00280344"/>
    <w:rsid w:val="002E0258"/>
    <w:rsid w:val="00311E77"/>
    <w:rsid w:val="00373E90"/>
    <w:rsid w:val="003D5493"/>
    <w:rsid w:val="003F7528"/>
    <w:rsid w:val="0044468B"/>
    <w:rsid w:val="0045009A"/>
    <w:rsid w:val="00476744"/>
    <w:rsid w:val="004B5162"/>
    <w:rsid w:val="004F724C"/>
    <w:rsid w:val="005338AD"/>
    <w:rsid w:val="005406CE"/>
    <w:rsid w:val="005F63E4"/>
    <w:rsid w:val="006C32E3"/>
    <w:rsid w:val="006F3AD4"/>
    <w:rsid w:val="00713E5A"/>
    <w:rsid w:val="007216E2"/>
    <w:rsid w:val="007904E0"/>
    <w:rsid w:val="007A14FF"/>
    <w:rsid w:val="008650A8"/>
    <w:rsid w:val="009148C8"/>
    <w:rsid w:val="00960F19"/>
    <w:rsid w:val="00972099"/>
    <w:rsid w:val="00AC435D"/>
    <w:rsid w:val="00AD4923"/>
    <w:rsid w:val="00B52CFF"/>
    <w:rsid w:val="00B77CAB"/>
    <w:rsid w:val="00B94824"/>
    <w:rsid w:val="00BC106F"/>
    <w:rsid w:val="00C636D7"/>
    <w:rsid w:val="00C80A35"/>
    <w:rsid w:val="00CE3CE6"/>
    <w:rsid w:val="00CE4E39"/>
    <w:rsid w:val="00CF4301"/>
    <w:rsid w:val="00D92A20"/>
    <w:rsid w:val="00E3449D"/>
    <w:rsid w:val="00E52331"/>
    <w:rsid w:val="00E60A1A"/>
    <w:rsid w:val="00E81DBE"/>
    <w:rsid w:val="00E87652"/>
    <w:rsid w:val="00E97275"/>
    <w:rsid w:val="00F0658A"/>
    <w:rsid w:val="00F25F08"/>
    <w:rsid w:val="00FA5445"/>
    <w:rsid w:val="047F2CA7"/>
    <w:rsid w:val="1B7A1BF2"/>
    <w:rsid w:val="31700392"/>
    <w:rsid w:val="3396611F"/>
    <w:rsid w:val="43781BDA"/>
    <w:rsid w:val="610A6236"/>
    <w:rsid w:val="643D2377"/>
    <w:rsid w:val="67AC18E0"/>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zh-CN" w:eastAsia="zh-CN" w:bidi="ar-SA"/>
    </w:rPr>
  </w:style>
  <w:style w:type="paragraph" w:styleId="2">
    <w:name w:val="heading 1"/>
    <w:basedOn w:val="1"/>
    <w:next w:val="1"/>
    <w:link w:val="13"/>
    <w:qFormat/>
    <w:uiPriority w:val="9"/>
    <w:pPr>
      <w:spacing w:before="100" w:beforeAutospacing="1" w:after="100" w:afterAutospacing="1"/>
      <w:outlineLvl w:val="0"/>
    </w:pPr>
    <w:rPr>
      <w:rFonts w:ascii="宋体" w:hAnsi="宋体" w:cs="宋体"/>
      <w:b/>
      <w:bCs/>
      <w:kern w:val="36"/>
      <w:sz w:val="48"/>
      <w:szCs w:val="48"/>
      <w:lang w:val="en-US"/>
    </w:rPr>
  </w:style>
  <w:style w:type="paragraph" w:styleId="3">
    <w:name w:val="heading 4"/>
    <w:basedOn w:val="1"/>
    <w:next w:val="1"/>
    <w:link w:val="16"/>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lang w:val="en-US"/>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nhideWhenUsed/>
    <w:qFormat/>
    <w:uiPriority w:val="99"/>
    <w:pPr>
      <w:tabs>
        <w:tab w:val="center" w:pos="4680"/>
        <w:tab w:val="right" w:pos="9360"/>
      </w:tabs>
      <w:snapToGrid w:val="0"/>
    </w:pPr>
    <w:rPr>
      <w:sz w:val="18"/>
      <w:szCs w:val="18"/>
    </w:rPr>
  </w:style>
  <w:style w:type="paragraph" w:styleId="5">
    <w:name w:val="header"/>
    <w:basedOn w:val="1"/>
    <w:link w:val="12"/>
    <w:unhideWhenUsed/>
    <w:qFormat/>
    <w:uiPriority w:val="99"/>
    <w:pPr>
      <w:tabs>
        <w:tab w:val="center" w:pos="4680"/>
        <w:tab w:val="right" w:pos="9360"/>
      </w:tabs>
      <w:snapToGrid w:val="0"/>
      <w:jc w:val="center"/>
    </w:pPr>
    <w:rPr>
      <w:sz w:val="18"/>
      <w:szCs w:val="18"/>
    </w:rPr>
  </w:style>
  <w:style w:type="paragraph" w:styleId="6">
    <w:name w:val="HTML Preformatted"/>
    <w:basedOn w:val="1"/>
    <w:link w:val="15"/>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cs="Times New Roman"/>
      <w:lang w:val="en-US"/>
    </w:rPr>
  </w:style>
  <w:style w:type="table" w:styleId="8">
    <w:name w:val="Table Grid"/>
    <w:basedOn w:val="7"/>
    <w:qFormat/>
    <w:uiPriority w:val="0"/>
    <w:pPr>
      <w:widowControl w:val="0"/>
      <w:jc w:val="both"/>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semiHidden/>
    <w:unhideWhenUsed/>
    <w:qFormat/>
    <w:uiPriority w:val="99"/>
  </w:style>
  <w:style w:type="character" w:customStyle="1" w:styleId="11">
    <w:name w:val="Footer Char"/>
    <w:basedOn w:val="9"/>
    <w:link w:val="4"/>
    <w:qFormat/>
    <w:uiPriority w:val="99"/>
    <w:rPr>
      <w:sz w:val="18"/>
      <w:szCs w:val="18"/>
    </w:rPr>
  </w:style>
  <w:style w:type="character" w:customStyle="1" w:styleId="12">
    <w:name w:val="Header Char"/>
    <w:basedOn w:val="9"/>
    <w:link w:val="5"/>
    <w:qFormat/>
    <w:uiPriority w:val="99"/>
    <w:rPr>
      <w:sz w:val="18"/>
      <w:szCs w:val="18"/>
    </w:rPr>
  </w:style>
  <w:style w:type="character" w:customStyle="1" w:styleId="13">
    <w:name w:val="Heading 1 Char"/>
    <w:basedOn w:val="9"/>
    <w:link w:val="2"/>
    <w:qFormat/>
    <w:uiPriority w:val="9"/>
    <w:rPr>
      <w:rFonts w:ascii="宋体" w:hAnsi="宋体" w:cs="宋体"/>
      <w:b/>
      <w:bCs/>
      <w:kern w:val="36"/>
      <w:sz w:val="48"/>
      <w:szCs w:val="48"/>
      <w:lang w:val="en-US"/>
    </w:rPr>
  </w:style>
  <w:style w:type="paragraph" w:styleId="14">
    <w:name w:val="List Paragraph"/>
    <w:basedOn w:val="1"/>
    <w:unhideWhenUsed/>
    <w:qFormat/>
    <w:uiPriority w:val="99"/>
    <w:pPr>
      <w:widowControl w:val="0"/>
      <w:ind w:firstLine="420" w:firstLineChars="200"/>
      <w:jc w:val="both"/>
    </w:pPr>
    <w:rPr>
      <w:kern w:val="2"/>
      <w:sz w:val="21"/>
      <w:lang w:val="en-US"/>
    </w:rPr>
  </w:style>
  <w:style w:type="character" w:customStyle="1" w:styleId="15">
    <w:name w:val="HTML Preformatted Char"/>
    <w:basedOn w:val="9"/>
    <w:link w:val="6"/>
    <w:qFormat/>
    <w:uiPriority w:val="0"/>
    <w:rPr>
      <w:rFonts w:ascii="宋体" w:hAnsi="宋体" w:eastAsia="宋体" w:cs="Times New Roman"/>
      <w:lang w:val="en-US"/>
    </w:rPr>
  </w:style>
  <w:style w:type="character" w:customStyle="1" w:styleId="16">
    <w:name w:val="Heading 4 Char"/>
    <w:basedOn w:val="9"/>
    <w:link w:val="3"/>
    <w:semiHidden/>
    <w:qFormat/>
    <w:uiPriority w:val="9"/>
    <w:rPr>
      <w:rFonts w:asciiTheme="majorHAnsi" w:hAnsiTheme="majorHAnsi" w:eastAsiaTheme="majorEastAsia" w:cstheme="majorBidi"/>
      <w:b/>
      <w:bCs/>
      <w:sz w:val="28"/>
      <w:szCs w:val="28"/>
      <w:lang w:val="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weichengzhou\Library\Group%20Containers\UBF8T346G9.Office\User%20Content.localized\Templates.localized\&#20869;&#31614;&#2599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内签文1.dotx</Template>
  <Pages>44</Pages>
  <Words>2304</Words>
  <Characters>13134</Characters>
  <Lines>109</Lines>
  <Paragraphs>30</Paragraphs>
  <TotalTime>43</TotalTime>
  <ScaleCrop>false</ScaleCrop>
  <LinksUpToDate>false</LinksUpToDate>
  <CharactersWithSpaces>15408</CharactersWithSpaces>
  <Application>WPS Office_11.1.0.11215_F1E327BC-269C-435d-A152-05C5408002CA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2024-06-28T05:20:00Z</dcterms:created>
  <dc:creator>Weicheng Zhou</dc:creator>
  <cp:lastModifiedBy>刘祥彬</cp:lastModifiedBy>
  <cp:lastPrinted>2024-07-02T03:04:00Z</cp:lastPrinted>
  <dcterms:modified xsi:type="dcterms:W3CDTF">2024-07-03T06:39:54Z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2052-11.1.0.11215</vt:lpwstr>
  </property>
  <property fmtid="{D5CDD505-2E9C-101B-9397-08002B2CF9AE}" pid="3" name="ICV">
    <vt:lpwstr>C992B7BB649544F2B5BAAB56ACB1FB47</vt:lpwstr>
  </property>
</Properties>
</file>