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firstLineChars="200"/>
        <w:rPr>
          <w:rFonts w:ascii="FangSong_GB2312" w:hAnsi="华文仿宋" w:eastAsia="FangSong_GB2312"/>
          <w:sz w:val="32"/>
          <w:szCs w:val="32"/>
        </w:rPr>
      </w:pPr>
    </w:p>
    <w:p>
      <w:pPr>
        <w:rPr>
          <w:rFonts w:ascii="黑体" w:hAnsi="黑体" w:eastAsia="黑体" w:cs="FangSong_GB2312"/>
          <w:color w:val="000000"/>
          <w:sz w:val="32"/>
          <w:szCs w:val="32"/>
        </w:rPr>
      </w:pPr>
      <w:r>
        <w:rPr>
          <w:rFonts w:hint="eastAsia" w:ascii="黑体" w:hAnsi="黑体" w:eastAsia="黑体" w:cs="FangSong_GB2312"/>
          <w:color w:val="000000"/>
          <w:sz w:val="32"/>
          <w:szCs w:val="32"/>
        </w:rPr>
        <w:t>附件8</w:t>
      </w:r>
    </w:p>
    <w:p>
      <w:pPr>
        <w:rPr>
          <w:rFonts w:ascii="FangSong_GB2312" w:hAnsi="FangSong_GB2312" w:eastAsia="FangSong_GB2312" w:cs="FangSong_GB2312"/>
          <w:color w:val="000000"/>
          <w:sz w:val="32"/>
          <w:szCs w:val="32"/>
        </w:rPr>
      </w:pPr>
    </w:p>
    <w:p>
      <w:pPr>
        <w:widowControl w:val="0"/>
        <w:jc w:val="center"/>
        <w:rPr>
          <w:rFonts w:ascii="宋体" w:hAnsi="宋体" w:eastAsia="宋体"/>
          <w:sz w:val="36"/>
          <w:szCs w:val="36"/>
        </w:rPr>
      </w:pPr>
      <w:r>
        <w:rPr>
          <w:rFonts w:hint="eastAsia" w:ascii="宋体" w:hAnsi="宋体" w:eastAsia="宋体"/>
          <w:sz w:val="36"/>
          <w:szCs w:val="36"/>
        </w:rPr>
        <w:t>反兴奋剂工作服务保障标准</w:t>
      </w:r>
    </w:p>
    <w:p>
      <w:pPr>
        <w:widowControl w:val="0"/>
        <w:jc w:val="center"/>
        <w:rPr>
          <w:rFonts w:ascii="宋体" w:hAnsi="宋体" w:eastAsia="宋体"/>
        </w:rPr>
      </w:pPr>
    </w:p>
    <w:p>
      <w:pPr>
        <w:widowControl w:val="0"/>
        <w:spacing w:line="560" w:lineRule="exact"/>
        <w:ind w:firstLine="641"/>
        <w:jc w:val="both"/>
        <w:rPr>
          <w:rFonts w:ascii="FangSong_GB2312" w:hAnsi="FangSong_GB2312" w:eastAsia="FangSong_GB2312" w:cs="FangSong_GB2312"/>
          <w:sz w:val="32"/>
          <w:szCs w:val="32"/>
        </w:rPr>
      </w:pPr>
      <w:r>
        <w:rPr>
          <w:rFonts w:hint="eastAsia" w:ascii="FangSong_GB2312" w:hAnsi="FangSong_GB2312" w:eastAsia="FangSong_GB2312" w:cs="FangSong_GB2312"/>
          <w:sz w:val="32"/>
          <w:szCs w:val="32"/>
        </w:rPr>
        <w:t>反兴奋剂技术官员是大型赛事组织工作的重要参与者，对维护公平公正竞赛环境及赛事成功举办有着重要的作用，</w:t>
      </w:r>
      <w:r>
        <w:rPr>
          <w:rFonts w:hint="eastAsia" w:ascii="FangSong_GB2312" w:hAnsi="FangSong_GB2312" w:eastAsia="FangSong_GB2312"/>
          <w:sz w:val="32"/>
          <w:szCs w:val="32"/>
        </w:rPr>
        <w:t>为更好的服务反兴奋剂技术官员，</w:t>
      </w:r>
      <w:r>
        <w:rPr>
          <w:rFonts w:hint="eastAsia" w:ascii="FangSong_GB2312" w:hAnsi="FangSong_GB2312" w:eastAsia="FangSong_GB2312" w:cs="FangSong_GB2312"/>
          <w:sz w:val="32"/>
          <w:szCs w:val="32"/>
        </w:rPr>
        <w:t>承办单位应制定赛事反兴奋剂技术官员客户服务保障政策。</w:t>
      </w:r>
      <w:r>
        <w:rPr>
          <w:rFonts w:ascii="FangSong_GB2312" w:hAnsi="FangSong_GB2312" w:eastAsia="FangSong_GB2312" w:cs="FangSong_GB2312"/>
          <w:sz w:val="32"/>
          <w:szCs w:val="32"/>
        </w:rPr>
        <w:t>该政策应制定反兴奋剂技术官员的适用人群和适用范围，赛时服务保障标准，包括津贴、交通、抵离、餐饮、住宿、服装、纪念证书、票务、医疗、保险、语言服务等</w:t>
      </w:r>
      <w:r>
        <w:rPr>
          <w:rFonts w:hint="eastAsia" w:ascii="FangSong_GB2312" w:hAnsi="FangSong_GB2312" w:eastAsia="FangSong_GB2312" w:cs="FangSong_GB2312"/>
          <w:sz w:val="32"/>
          <w:szCs w:val="32"/>
        </w:rPr>
        <w:t>。具体服务保障标准如下。</w:t>
      </w:r>
    </w:p>
    <w:p>
      <w:pPr>
        <w:widowControl w:val="0"/>
        <w:spacing w:line="560" w:lineRule="exact"/>
        <w:ind w:firstLine="641"/>
        <w:jc w:val="both"/>
        <w:rPr>
          <w:rFonts w:ascii="FangSong_GB2312" w:hAnsi="FangSong_GB2312" w:eastAsia="FangSong_GB2312" w:cs="FangSong_GB2312"/>
          <w:sz w:val="32"/>
          <w:szCs w:val="32"/>
        </w:rPr>
      </w:pPr>
      <w:r>
        <w:rPr>
          <w:rFonts w:hint="eastAsia" w:ascii="FangSong_GB2312" w:hAnsi="FangSong_GB2312" w:eastAsia="FangSong_GB2312" w:cs="FangSong_GB2312"/>
          <w:sz w:val="32"/>
          <w:szCs w:val="32"/>
        </w:rPr>
        <w:t>一、政策依据</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cs="FangSong_GB2312"/>
          <w:sz w:val="32"/>
          <w:szCs w:val="32"/>
        </w:rPr>
        <w:t>根据</w:t>
      </w:r>
      <w:r>
        <w:rPr>
          <w:rFonts w:hint="eastAsia" w:ascii="FangSong_GB2312" w:hAnsi="FangSong_GB2312" w:eastAsia="FangSong_GB2312"/>
          <w:sz w:val="32"/>
          <w:szCs w:val="32"/>
        </w:rPr>
        <w:t>体育总局办公厅印发</w:t>
      </w:r>
      <w:r>
        <w:rPr>
          <w:rFonts w:hint="eastAsia" w:ascii="FangSong_GB2312" w:hAnsi="FangSong_GB2312" w:eastAsia="FangSong_GB2312" w:cs="FangSong_GB2312"/>
          <w:sz w:val="32"/>
          <w:szCs w:val="32"/>
        </w:rPr>
        <w:t>的《兴奋剂检查人员管理办法》</w:t>
      </w:r>
      <w:r>
        <w:rPr>
          <w:rFonts w:hint="eastAsia" w:ascii="FangSong_GB2312" w:hAnsi="FangSong_GB2312" w:eastAsia="FangSong_GB2312"/>
          <w:sz w:val="32"/>
          <w:szCs w:val="32"/>
        </w:rPr>
        <w:t>（体反兴奋剂字〔2023〕90号）第七章第二十九条规定：</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非反兴奋剂中心发起的兴奋剂检查工作,检查人员工作补贴标准应当参考以下标准:</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(一)赛内检查工作中,兴奋剂检查团队负责人工作补贴和待遇参照赛事裁判长标准,检查官和血检官参照赛事裁判员标准,陪护员参照赛事有关规定执行;</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(二)赛外检查工作中,检查人员工作补贴和待遇依照反兴奋剂中心检查补贴标准;</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(三)授权管理单位实施委托兴奋剂检查时,可以参照反兴奋剂中心检查补贴标准。</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cs="FangSong_GB2312"/>
          <w:sz w:val="32"/>
          <w:szCs w:val="32"/>
        </w:rPr>
        <w:t>二、适用范围</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（一）适用人群</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大型赛事组委会和/或中国反兴奋剂中心授权的反兴奋剂技术官员、组委会邀请的国际兴奋剂检查官，和中国反兴奋剂中心为赛事选派的兴奋剂检查人员。</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（二）适用时间</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反兴奋剂技术官员赛时工作期原则上为开村前四天至比赛结束后两天，兴奋剂检查官(含国际兴奋剂检查官)赛时工作原则上为该项目比赛开赛前(</w:t>
      </w:r>
      <w:r>
        <w:rPr>
          <w:rFonts w:hint="eastAsia" w:ascii="FangSong_GB2312" w:hAnsi="FangSong_GB2312" w:eastAsia="FangSong_GB2312"/>
          <w:sz w:val="32"/>
          <w:szCs w:val="32"/>
        </w:rPr>
        <w:t>运动员村</w:t>
      </w:r>
      <w:r>
        <w:rPr>
          <w:rFonts w:ascii="FangSong_GB2312" w:hAnsi="FangSong_GB2312" w:eastAsia="FangSong_GB2312"/>
          <w:sz w:val="32"/>
          <w:szCs w:val="32"/>
        </w:rPr>
        <w:t>兴奋剂检查官为开村前)三天至比赛结束后一天。</w:t>
      </w:r>
      <w:r>
        <w:rPr>
          <w:rFonts w:hint="eastAsia" w:ascii="FangSong_GB2312" w:hAnsi="FangSong_GB2312" w:eastAsia="FangSong_GB2312"/>
          <w:sz w:val="32"/>
          <w:szCs w:val="32"/>
        </w:rPr>
        <w:t>如因特殊情况兴奋剂检查官实际到达时间早于上述日期或离开时间晚于上述日期，补贴发放时间应按照实际工作时间计算。</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三、赛时服务保障</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（一）津贴</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1.</w:t>
      </w:r>
      <w:r>
        <w:rPr>
          <w:rFonts w:hint="eastAsia" w:ascii="FangSong_GB2312" w:hAnsi="FangSong_GB2312" w:eastAsia="FangSong_GB2312"/>
          <w:sz w:val="32"/>
          <w:szCs w:val="32"/>
        </w:rPr>
        <w:t>组委会</w:t>
      </w:r>
      <w:r>
        <w:rPr>
          <w:rFonts w:ascii="FangSong_GB2312" w:hAnsi="FangSong_GB2312" w:eastAsia="FangSong_GB2312"/>
          <w:sz w:val="32"/>
          <w:szCs w:val="32"/>
        </w:rPr>
        <w:t>为反兴奋剂技术官员，由</w:t>
      </w:r>
      <w:r>
        <w:rPr>
          <w:rFonts w:hint="eastAsia" w:ascii="FangSong_GB2312" w:hAnsi="FangSong_GB2312" w:eastAsia="FangSong_GB2312"/>
          <w:sz w:val="32"/>
          <w:szCs w:val="32"/>
        </w:rPr>
        <w:t>组委会邀请的</w:t>
      </w:r>
      <w:r>
        <w:rPr>
          <w:rFonts w:ascii="FangSong_GB2312" w:hAnsi="FangSong_GB2312" w:eastAsia="FangSong_GB2312"/>
          <w:sz w:val="32"/>
          <w:szCs w:val="32"/>
        </w:rPr>
        <w:t>国际兴奋剂检查官、担任</w:t>
      </w:r>
      <w:r>
        <w:rPr>
          <w:rFonts w:hint="eastAsia" w:ascii="FangSong_GB2312" w:hAnsi="FangSong_GB2312" w:eastAsia="FangSong_GB2312"/>
          <w:sz w:val="32"/>
          <w:szCs w:val="32"/>
        </w:rPr>
        <w:t>兴奋剂检查站经理</w:t>
      </w:r>
      <w:r>
        <w:rPr>
          <w:rFonts w:ascii="FangSong_GB2312" w:hAnsi="FangSong_GB2312" w:eastAsia="FangSong_GB2312"/>
          <w:sz w:val="32"/>
          <w:szCs w:val="32"/>
        </w:rPr>
        <w:t>的兴奋剂检查官</w:t>
      </w:r>
      <w:r>
        <w:rPr>
          <w:rFonts w:hint="eastAsia" w:ascii="FangSong_GB2312" w:hAnsi="FangSong_GB2312" w:eastAsia="FangSong_GB2312"/>
          <w:sz w:val="32"/>
          <w:szCs w:val="32"/>
        </w:rPr>
        <w:t>参照</w:t>
      </w:r>
      <w:r>
        <w:rPr>
          <w:rFonts w:ascii="FangSong_GB2312" w:hAnsi="FangSong_GB2312" w:eastAsia="FangSong_GB2312"/>
          <w:sz w:val="32"/>
          <w:szCs w:val="32"/>
        </w:rPr>
        <w:t>赛事裁判长标准提供津贴。</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2.</w:t>
      </w:r>
      <w:r>
        <w:rPr>
          <w:rFonts w:hint="eastAsia" w:ascii="FangSong_GB2312" w:hAnsi="FangSong_GB2312" w:eastAsia="FangSong_GB2312"/>
          <w:sz w:val="32"/>
          <w:szCs w:val="32"/>
        </w:rPr>
        <w:t>组委会</w:t>
      </w:r>
      <w:r>
        <w:rPr>
          <w:rFonts w:ascii="FangSong_GB2312" w:hAnsi="FangSong_GB2312" w:eastAsia="FangSong_GB2312"/>
          <w:sz w:val="32"/>
          <w:szCs w:val="32"/>
        </w:rPr>
        <w:t>为</w:t>
      </w:r>
      <w:r>
        <w:rPr>
          <w:rFonts w:hint="eastAsia" w:ascii="FangSong_GB2312" w:hAnsi="FangSong_GB2312" w:eastAsia="FangSong_GB2312"/>
          <w:sz w:val="32"/>
          <w:szCs w:val="32"/>
        </w:rPr>
        <w:t>中国</w:t>
      </w:r>
      <w:r>
        <w:rPr>
          <w:rFonts w:ascii="FangSong_GB2312" w:hAnsi="FangSong_GB2312" w:eastAsia="FangSong_GB2312"/>
          <w:sz w:val="32"/>
          <w:szCs w:val="32"/>
        </w:rPr>
        <w:t>反兴奋剂中心选拔的兴奋剂检查官参照赛事裁判员标准津贴。</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津贴计算时长为在</w:t>
      </w:r>
      <w:r>
        <w:rPr>
          <w:rFonts w:hint="eastAsia" w:ascii="FangSong_GB2312" w:hAnsi="FangSong_GB2312" w:eastAsia="FangSong_GB2312"/>
          <w:sz w:val="32"/>
          <w:szCs w:val="32"/>
        </w:rPr>
        <w:t>赛事期</w:t>
      </w:r>
      <w:r>
        <w:rPr>
          <w:rFonts w:ascii="FangSong_GB2312" w:hAnsi="FangSong_GB2312" w:eastAsia="FangSong_GB2312"/>
          <w:sz w:val="32"/>
          <w:szCs w:val="32"/>
        </w:rPr>
        <w:t>间的实际工作天数。津贴计算时长为上述人员离开所在国(地)或前一个工作地前往</w:t>
      </w:r>
      <w:r>
        <w:rPr>
          <w:rFonts w:hint="eastAsia" w:ascii="FangSong_GB2312" w:hAnsi="FangSong_GB2312" w:eastAsia="FangSong_GB2312"/>
          <w:sz w:val="32"/>
          <w:szCs w:val="32"/>
        </w:rPr>
        <w:t>赛事所在地</w:t>
      </w:r>
      <w:r>
        <w:rPr>
          <w:rFonts w:ascii="FangSong_GB2312" w:hAnsi="FangSong_GB2312" w:eastAsia="FangSong_GB2312"/>
          <w:sz w:val="32"/>
          <w:szCs w:val="32"/>
        </w:rPr>
        <w:t>起算，至离岗日止(含离岗日)。</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（二）交通</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1</w:t>
      </w:r>
      <w:r>
        <w:rPr>
          <w:rFonts w:ascii="FangSong_GB2312" w:hAnsi="FangSong_GB2312" w:eastAsia="FangSong_GB2312"/>
          <w:sz w:val="32"/>
          <w:szCs w:val="32"/>
        </w:rPr>
        <w:t>.</w:t>
      </w:r>
      <w:r>
        <w:rPr>
          <w:rFonts w:hint="eastAsia" w:ascii="FangSong_GB2312" w:hAnsi="FangSong_GB2312" w:eastAsia="FangSong_GB2312"/>
          <w:sz w:val="32"/>
          <w:szCs w:val="32"/>
        </w:rPr>
        <w:t>往返交通</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组委会为反兴奋剂技术官员提供从所在国(地)或前一个工作地往返</w:t>
      </w:r>
      <w:r>
        <w:rPr>
          <w:rFonts w:hint="eastAsia" w:ascii="FangSong_GB2312" w:hAnsi="FangSong_GB2312" w:eastAsia="FangSong_GB2312"/>
          <w:sz w:val="32"/>
          <w:szCs w:val="32"/>
        </w:rPr>
        <w:t>赛事所在地</w:t>
      </w:r>
      <w:r>
        <w:rPr>
          <w:rFonts w:ascii="FangSong_GB2312" w:hAnsi="FangSong_GB2312" w:eastAsia="FangSong_GB2312"/>
          <w:sz w:val="32"/>
          <w:szCs w:val="32"/>
        </w:rPr>
        <w:t>的机票、火车票，具体标准</w:t>
      </w:r>
      <w:r>
        <w:rPr>
          <w:rFonts w:hint="eastAsia" w:ascii="FangSong_GB2312" w:hAnsi="FangSong_GB2312" w:eastAsia="FangSong_GB2312"/>
          <w:sz w:val="32"/>
          <w:szCs w:val="32"/>
        </w:rPr>
        <w:t>参照组委会相关规定执行。</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2</w:t>
      </w:r>
      <w:r>
        <w:rPr>
          <w:rFonts w:ascii="FangSong_GB2312" w:hAnsi="FangSong_GB2312" w:eastAsia="FangSong_GB2312"/>
          <w:sz w:val="32"/>
          <w:szCs w:val="32"/>
        </w:rPr>
        <w:t>.</w:t>
      </w:r>
      <w:r>
        <w:rPr>
          <w:rFonts w:hint="eastAsia" w:ascii="FangSong_GB2312" w:hAnsi="FangSong_GB2312" w:eastAsia="FangSong_GB2312"/>
          <w:sz w:val="32"/>
          <w:szCs w:val="32"/>
        </w:rPr>
        <w:t>赛时交通</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组委会为反兴奋剂技术官员提供集体用车或班车服务；在专用车、班车及集体用车的数量、车型和服务时间等方面保障工作需求。</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（三）抵离</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国际兴奋剂检查官</w:t>
      </w:r>
      <w:r>
        <w:rPr>
          <w:rFonts w:ascii="FangSong_GB2312" w:hAnsi="FangSong_GB2312" w:eastAsia="FangSong_GB2312"/>
          <w:sz w:val="32"/>
          <w:szCs w:val="32"/>
        </w:rPr>
        <w:t>在赛时入境中国内地(大陆),可使用本人有效护照和身份注册卡多次出入境中国内地(大陆)。</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组委会为反兴奋剂技术官员在官方出入境口岸提供抵离服务，并根据其需要将随行行李运送至指定接待酒店</w:t>
      </w:r>
      <w:r>
        <w:rPr>
          <w:rFonts w:hint="eastAsia" w:ascii="FangSong_GB2312" w:hAnsi="FangSong_GB2312" w:eastAsia="FangSong_GB2312"/>
          <w:sz w:val="32"/>
          <w:szCs w:val="32"/>
        </w:rPr>
        <w:t>。</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(四)餐饮</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在反兴奋剂技术官员指定接待饭店免费供应早餐、午餐、晚餐；在竞赛场馆和技术官员的其他工作地点为其免费供应茶点及饮料；结合单元竞赛日程和实际需要，为特定项目的技术官员在竞赛场馆提供热餐服务。</w:t>
      </w:r>
    </w:p>
    <w:p>
      <w:pPr>
        <w:widowControl w:val="0"/>
        <w:spacing w:line="560" w:lineRule="exact"/>
        <w:ind w:firstLine="641"/>
        <w:jc w:val="both"/>
        <w:rPr>
          <w:rFonts w:ascii="FangSong_GB2312" w:hAnsi="FangSong_GB2312" w:eastAsia="FangSong_GB2312"/>
          <w:sz w:val="32"/>
          <w:szCs w:val="32"/>
        </w:rPr>
      </w:pPr>
      <w:r>
        <w:rPr>
          <w:rFonts w:hint="eastAsia" w:ascii="FangSong_GB2312" w:hAnsi="FangSong_GB2312" w:eastAsia="FangSong_GB2312"/>
          <w:sz w:val="32"/>
          <w:szCs w:val="32"/>
        </w:rPr>
        <w:t>（五）住宿</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人员住宿标准及范围：反兴奋剂技术官员、由</w:t>
      </w:r>
      <w:r>
        <w:rPr>
          <w:rFonts w:hint="eastAsia" w:ascii="FangSong_GB2312" w:hAnsi="FangSong_GB2312" w:eastAsia="FangSong_GB2312"/>
          <w:sz w:val="32"/>
          <w:szCs w:val="32"/>
        </w:rPr>
        <w:t>组委会</w:t>
      </w:r>
      <w:r>
        <w:rPr>
          <w:rFonts w:ascii="FangSong_GB2312" w:hAnsi="FangSong_GB2312" w:eastAsia="FangSong_GB2312"/>
          <w:sz w:val="32"/>
          <w:szCs w:val="32"/>
        </w:rPr>
        <w:t>邀请的国际兴奋剂检查官及担任</w:t>
      </w:r>
      <w:r>
        <w:rPr>
          <w:rFonts w:hint="eastAsia" w:ascii="FangSong_GB2312" w:hAnsi="FangSong_GB2312" w:eastAsia="FangSong_GB2312"/>
          <w:sz w:val="32"/>
          <w:szCs w:val="32"/>
        </w:rPr>
        <w:t>兴奋剂检查经理</w:t>
      </w:r>
      <w:r>
        <w:rPr>
          <w:rFonts w:ascii="FangSong_GB2312" w:hAnsi="FangSong_GB2312" w:eastAsia="FangSong_GB2312"/>
          <w:sz w:val="32"/>
          <w:szCs w:val="32"/>
        </w:rPr>
        <w:t>的兴奋剂检查官按1人/间标准安排住宿；兴奋剂检查官按2人/间的标准安排住宿。具体安排根据实际房间情况而定。</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原则上，</w:t>
      </w:r>
      <w:r>
        <w:rPr>
          <w:rFonts w:hint="eastAsia" w:ascii="FangSong_GB2312" w:hAnsi="FangSong_GB2312" w:eastAsia="FangSong_GB2312"/>
          <w:sz w:val="32"/>
          <w:szCs w:val="32"/>
        </w:rPr>
        <w:t>反</w:t>
      </w:r>
      <w:r>
        <w:rPr>
          <w:rFonts w:ascii="FangSong_GB2312" w:hAnsi="FangSong_GB2312" w:eastAsia="FangSong_GB2312"/>
          <w:sz w:val="32"/>
          <w:szCs w:val="32"/>
        </w:rPr>
        <w:t>兴奋剂技术官员应在赛时工作期间如期到达比赛场地，并在最后一场比赛结束后如期离开，如因个人原因无法在规定工作期内到达或离开，可酌情为其延长住宿时间，延长住宿期间产生的所有费用由本人自理。</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(六)服装</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反兴奋剂技术官员提供服装。在反兴奋剂技术官员官方接待酒店设置服装中心，用于反兴奋剂技术官员服装发放、调换。反兴奋剂技术官员到达后可在规定时段内前往服务中心凭身份注册卡领取服装。领取试穿后如需调换，可自行联系服装中心处理。</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(七)纪念证书</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组委会为反兴奋剂技术官员提供</w:t>
      </w:r>
      <w:r>
        <w:rPr>
          <w:rFonts w:hint="eastAsia" w:ascii="FangSong_GB2312" w:hAnsi="FangSong_GB2312" w:eastAsia="FangSong_GB2312"/>
          <w:sz w:val="32"/>
          <w:szCs w:val="32"/>
        </w:rPr>
        <w:t>赛事</w:t>
      </w:r>
      <w:r>
        <w:rPr>
          <w:rFonts w:ascii="FangSong_GB2312" w:hAnsi="FangSong_GB2312" w:eastAsia="FangSong_GB2312"/>
          <w:sz w:val="32"/>
          <w:szCs w:val="32"/>
        </w:rPr>
        <w:t>纪念证书。</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(八)票务</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1.开、闭幕式门票</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组委会为参加</w:t>
      </w:r>
      <w:r>
        <w:rPr>
          <w:rFonts w:hint="eastAsia" w:ascii="FangSong_GB2312" w:hAnsi="FangSong_GB2312" w:eastAsia="FangSong_GB2312"/>
          <w:sz w:val="32"/>
          <w:szCs w:val="32"/>
        </w:rPr>
        <w:t>赛事开</w:t>
      </w:r>
      <w:r>
        <w:rPr>
          <w:rFonts w:ascii="FangSong_GB2312" w:hAnsi="FangSong_GB2312" w:eastAsia="FangSong_GB2312"/>
          <w:sz w:val="32"/>
          <w:szCs w:val="32"/>
        </w:rPr>
        <w:t>、闭幕式的反兴奋剂技术官员提供合理数量的开、闭幕式门票。</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2.本项目比赛门票</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反兴奋剂技术官员可凭有效的身份注册卡在非工作时间观看本项目比赛，如需要观看通行权限无法到达的场地项目比赛，应通过官方指定购票渠道购票入场。</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(九)医疗</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组委会为反兴奋剂技术官员提供医疗服务及就医绿色通道，场馆和住地的基本医疗和现场急救转诊服务由</w:t>
      </w:r>
      <w:r>
        <w:rPr>
          <w:rFonts w:hint="eastAsia" w:ascii="FangSong_GB2312" w:hAnsi="FangSong_GB2312" w:eastAsia="FangSong_GB2312"/>
          <w:sz w:val="32"/>
          <w:szCs w:val="32"/>
        </w:rPr>
        <w:t>组委会</w:t>
      </w:r>
      <w:r>
        <w:rPr>
          <w:rFonts w:ascii="FangSong_GB2312" w:hAnsi="FangSong_GB2312" w:eastAsia="FangSong_GB2312"/>
          <w:sz w:val="32"/>
          <w:szCs w:val="32"/>
        </w:rPr>
        <w:t>免费提供，其他医疗服务费用按保险有关规定支付；除此之外产生的费用，例如在指定医院或其他医院就诊及后续治疗产生的费用，由患者本人承担。</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(十)保险</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组委会为反兴奋剂技术官员提供必要的保险，保险额度和险种应与岗位风险相适应，保险生效期从抵达</w:t>
      </w:r>
      <w:r>
        <w:rPr>
          <w:rFonts w:hint="eastAsia" w:ascii="FangSong_GB2312" w:hAnsi="FangSong_GB2312" w:eastAsia="FangSong_GB2312"/>
          <w:sz w:val="32"/>
          <w:szCs w:val="32"/>
        </w:rPr>
        <w:t>赛事所在地</w:t>
      </w:r>
      <w:r>
        <w:rPr>
          <w:rFonts w:ascii="FangSong_GB2312" w:hAnsi="FangSong_GB2312" w:eastAsia="FangSong_GB2312"/>
          <w:sz w:val="32"/>
          <w:szCs w:val="32"/>
        </w:rPr>
        <w:t>之日起至离开</w:t>
      </w:r>
      <w:r>
        <w:rPr>
          <w:rFonts w:hint="eastAsia" w:ascii="FangSong_GB2312" w:hAnsi="FangSong_GB2312" w:eastAsia="FangSong_GB2312"/>
          <w:sz w:val="32"/>
          <w:szCs w:val="32"/>
        </w:rPr>
        <w:t>赛事所在地</w:t>
      </w:r>
      <w:r>
        <w:rPr>
          <w:rFonts w:ascii="FangSong_GB2312" w:hAnsi="FangSong_GB2312" w:eastAsia="FangSong_GB2312"/>
          <w:sz w:val="32"/>
          <w:szCs w:val="32"/>
        </w:rPr>
        <w:t>之日止。</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(十一)语言服务</w:t>
      </w:r>
    </w:p>
    <w:p>
      <w:pPr>
        <w:widowControl w:val="0"/>
        <w:spacing w:line="560" w:lineRule="exact"/>
        <w:ind w:firstLine="641"/>
        <w:jc w:val="both"/>
        <w:rPr>
          <w:rFonts w:ascii="FangSong_GB2312" w:hAnsi="FangSong_GB2312" w:eastAsia="FangSong_GB2312"/>
          <w:sz w:val="32"/>
          <w:szCs w:val="32"/>
        </w:rPr>
      </w:pPr>
      <w:r>
        <w:rPr>
          <w:rFonts w:ascii="FangSong_GB2312" w:hAnsi="FangSong_GB2312" w:eastAsia="FangSong_GB2312"/>
          <w:sz w:val="32"/>
          <w:szCs w:val="32"/>
        </w:rPr>
        <w:t>组委会在技术官员村接待酒店及竞赛场馆按标准为反兴奋剂技术官员提供语言服务。</w:t>
      </w:r>
    </w:p>
    <w:p>
      <w:pPr>
        <w:rPr>
          <w:rFonts w:ascii="FangSong_GB2312" w:hAnsi="FangSong_GB2312" w:eastAsia="FangSong_GB2312" w:cs="FangSong_GB2312"/>
          <w:sz w:val="32"/>
          <w:szCs w:val="32"/>
        </w:rPr>
      </w:pPr>
      <w:bookmarkStart w:id="0" w:name="_GoBack"/>
      <w:bookmarkEnd w:id="0"/>
    </w:p>
    <w:sectPr>
      <w:footerReference r:id="rId3" w:type="default"/>
      <w:footerReference r:id="rId4" w:type="even"/>
      <w:pgSz w:w="11900" w:h="16840"/>
      <w:pgMar w:top="1440" w:right="1440" w:bottom="1440" w:left="1440" w:header="708" w:footer="708" w:gutter="0"/>
      <w:pgNumType w:fmt="numberInDash"/>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FangSong_GB2312">
    <w:altName w:val="仿宋_GB2312"/>
    <w:panose1 w:val="02010609030101010101"/>
    <w:charset w:val="86"/>
    <w:family w:val="modern"/>
    <w:pitch w:val="default"/>
    <w:sig w:usb0="00000000" w:usb1="00000000" w:usb2="00000010" w:usb3="00000000" w:csb0="00040001" w:csb1="00000000"/>
  </w:font>
  <w:font w:name="仿宋_GB2312">
    <w:panose1 w:val="02010609030101010101"/>
    <w:charset w:val="86"/>
    <w:family w:val="auto"/>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KaiTi_GB2312">
    <w:altName w:val="楷体"/>
    <w:panose1 w:val="020B0604020202020204"/>
    <w:charset w:val="86"/>
    <w:family w:val="modern"/>
    <w:pitch w:val="default"/>
    <w:sig w:usb0="00000000" w:usb1="00000000" w:usb2="0000001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Fonts w:ascii="FangSong_GB2312" w:hAnsi="FangSong_GB2312" w:eastAsia="FangSong_GB2312"/>
        <w:sz w:val="32"/>
        <w:szCs w:val="32"/>
      </w:rPr>
      <w:id w:val="1562059467"/>
      <w:docPartObj>
        <w:docPartGallery w:val="AutoText"/>
      </w:docPartObj>
    </w:sdtPr>
    <w:sdtEndPr>
      <w:rPr>
        <w:rStyle w:val="10"/>
        <w:rFonts w:ascii="FangSong_GB2312" w:hAnsi="FangSong_GB2312" w:eastAsia="FangSong_GB2312"/>
        <w:sz w:val="32"/>
        <w:szCs w:val="32"/>
      </w:rPr>
    </w:sdtEndPr>
    <w:sdtContent>
      <w:p>
        <w:pPr>
          <w:pStyle w:val="4"/>
          <w:framePr w:wrap="auto" w:vAnchor="text" w:hAnchor="margin" w:xAlign="right" w:y="1"/>
          <w:rPr>
            <w:rStyle w:val="10"/>
            <w:rFonts w:ascii="FangSong_GB2312" w:hAnsi="FangSong_GB2312" w:eastAsia="FangSong_GB2312"/>
            <w:sz w:val="32"/>
            <w:szCs w:val="32"/>
          </w:rPr>
        </w:pPr>
        <w:r>
          <w:rPr>
            <w:rStyle w:val="10"/>
            <w:rFonts w:ascii="FangSong_GB2312" w:hAnsi="FangSong_GB2312" w:eastAsia="FangSong_GB2312"/>
            <w:sz w:val="32"/>
            <w:szCs w:val="32"/>
          </w:rPr>
          <w:fldChar w:fldCharType="begin"/>
        </w:r>
        <w:r>
          <w:rPr>
            <w:rStyle w:val="10"/>
            <w:rFonts w:ascii="FangSong_GB2312" w:hAnsi="FangSong_GB2312" w:eastAsia="FangSong_GB2312"/>
            <w:sz w:val="32"/>
            <w:szCs w:val="32"/>
          </w:rPr>
          <w:instrText xml:space="preserve"> PAGE </w:instrText>
        </w:r>
        <w:r>
          <w:rPr>
            <w:rStyle w:val="10"/>
            <w:rFonts w:ascii="FangSong_GB2312" w:hAnsi="FangSong_GB2312" w:eastAsia="FangSong_GB2312"/>
            <w:sz w:val="32"/>
            <w:szCs w:val="32"/>
          </w:rPr>
          <w:fldChar w:fldCharType="separate"/>
        </w:r>
        <w:r>
          <w:rPr>
            <w:rStyle w:val="10"/>
            <w:rFonts w:ascii="FangSong_GB2312" w:hAnsi="FangSong_GB2312" w:eastAsia="FangSong_GB2312"/>
            <w:sz w:val="32"/>
            <w:szCs w:val="32"/>
          </w:rPr>
          <w:t>- 1 -</w:t>
        </w:r>
        <w:r>
          <w:rPr>
            <w:rStyle w:val="10"/>
            <w:rFonts w:ascii="FangSong_GB2312" w:hAnsi="FangSong_GB2312" w:eastAsia="FangSong_GB2312"/>
            <w:sz w:val="32"/>
            <w:szCs w:val="32"/>
          </w:rPr>
          <w:fldChar w:fldCharType="end"/>
        </w:r>
      </w:p>
    </w:sdtContent>
  </w:sdt>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10"/>
      </w:rPr>
      <w:id w:val="725265015"/>
      <w:docPartObj>
        <w:docPartGallery w:val="AutoText"/>
      </w:docPartObj>
    </w:sdtPr>
    <w:sdtEndPr>
      <w:rPr>
        <w:rStyle w:val="10"/>
      </w:rPr>
    </w:sdtEndPr>
    <w:sdtContent>
      <w:p>
        <w:pPr>
          <w:pStyle w:val="4"/>
          <w:framePr w:wrap="auto" w:vAnchor="text" w:hAnchor="margin" w:xAlign="right" w:y="1"/>
          <w:rPr>
            <w:rStyle w:val="10"/>
          </w:rPr>
        </w:pPr>
        <w:r>
          <w:rPr>
            <w:rStyle w:val="10"/>
          </w:rPr>
          <w:fldChar w:fldCharType="begin"/>
        </w:r>
        <w:r>
          <w:rPr>
            <w:rStyle w:val="10"/>
          </w:rPr>
          <w:instrText xml:space="preserve"> PAGE </w:instrText>
        </w:r>
        <w:r>
          <w:rPr>
            <w:rStyle w:val="10"/>
          </w:rPr>
          <w:fldChar w:fldCharType="separate"/>
        </w:r>
        <w:r>
          <w:rPr>
            <w:rStyle w:val="10"/>
          </w:rPr>
          <w:t>- 1 -</w:t>
        </w:r>
        <w:r>
          <w:rPr>
            <w:rStyle w:val="10"/>
          </w:rPr>
          <w:fldChar w:fldCharType="end"/>
        </w:r>
      </w:p>
    </w:sdtContent>
  </w:sdt>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attachedTemplate r:id="rId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DAC"/>
    <w:rsid w:val="0001454E"/>
    <w:rsid w:val="0003317E"/>
    <w:rsid w:val="00036F37"/>
    <w:rsid w:val="000831BA"/>
    <w:rsid w:val="000B5627"/>
    <w:rsid w:val="000E6DAC"/>
    <w:rsid w:val="001000C7"/>
    <w:rsid w:val="00102252"/>
    <w:rsid w:val="00117E7D"/>
    <w:rsid w:val="00183C01"/>
    <w:rsid w:val="0025544B"/>
    <w:rsid w:val="00257C2C"/>
    <w:rsid w:val="00280344"/>
    <w:rsid w:val="002E0258"/>
    <w:rsid w:val="00311E77"/>
    <w:rsid w:val="00373E90"/>
    <w:rsid w:val="003D5493"/>
    <w:rsid w:val="003F7528"/>
    <w:rsid w:val="0044468B"/>
    <w:rsid w:val="0045009A"/>
    <w:rsid w:val="00476744"/>
    <w:rsid w:val="004B5162"/>
    <w:rsid w:val="004F724C"/>
    <w:rsid w:val="005338AD"/>
    <w:rsid w:val="005406CE"/>
    <w:rsid w:val="005F63E4"/>
    <w:rsid w:val="006C32E3"/>
    <w:rsid w:val="006F3AD4"/>
    <w:rsid w:val="00713E5A"/>
    <w:rsid w:val="007216E2"/>
    <w:rsid w:val="007904E0"/>
    <w:rsid w:val="007A14FF"/>
    <w:rsid w:val="008650A8"/>
    <w:rsid w:val="009148C8"/>
    <w:rsid w:val="00960F19"/>
    <w:rsid w:val="00972099"/>
    <w:rsid w:val="00AC435D"/>
    <w:rsid w:val="00AD4923"/>
    <w:rsid w:val="00B52CFF"/>
    <w:rsid w:val="00B77CAB"/>
    <w:rsid w:val="00B94824"/>
    <w:rsid w:val="00BC106F"/>
    <w:rsid w:val="00C636D7"/>
    <w:rsid w:val="00C80A35"/>
    <w:rsid w:val="00CE3CE6"/>
    <w:rsid w:val="00CE4E39"/>
    <w:rsid w:val="00CF4301"/>
    <w:rsid w:val="00D92A20"/>
    <w:rsid w:val="00E3449D"/>
    <w:rsid w:val="00E52331"/>
    <w:rsid w:val="00E60A1A"/>
    <w:rsid w:val="00E81DBE"/>
    <w:rsid w:val="00E87652"/>
    <w:rsid w:val="00E97275"/>
    <w:rsid w:val="00F0658A"/>
    <w:rsid w:val="00F25F08"/>
    <w:rsid w:val="00FA5445"/>
    <w:rsid w:val="731A5E21"/>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24"/>
      <w:szCs w:val="24"/>
      <w:lang w:val="zh-CN" w:eastAsia="zh-CN" w:bidi="ar-SA"/>
    </w:rPr>
  </w:style>
  <w:style w:type="paragraph" w:styleId="2">
    <w:name w:val="heading 1"/>
    <w:basedOn w:val="1"/>
    <w:next w:val="1"/>
    <w:link w:val="13"/>
    <w:qFormat/>
    <w:uiPriority w:val="9"/>
    <w:pPr>
      <w:spacing w:before="100" w:beforeAutospacing="1" w:after="100" w:afterAutospacing="1"/>
      <w:outlineLvl w:val="0"/>
    </w:pPr>
    <w:rPr>
      <w:rFonts w:ascii="宋体" w:hAnsi="宋体" w:cs="宋体"/>
      <w:b/>
      <w:bCs/>
      <w:kern w:val="36"/>
      <w:sz w:val="48"/>
      <w:szCs w:val="48"/>
      <w:lang w:val="en-US"/>
    </w:rPr>
  </w:style>
  <w:style w:type="paragraph" w:styleId="3">
    <w:name w:val="heading 4"/>
    <w:basedOn w:val="1"/>
    <w:next w:val="1"/>
    <w:link w:val="16"/>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lang w:val="en-US"/>
    </w:rPr>
  </w:style>
  <w:style w:type="character" w:default="1" w:styleId="9">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4">
    <w:name w:val="footer"/>
    <w:basedOn w:val="1"/>
    <w:link w:val="11"/>
    <w:unhideWhenUsed/>
    <w:uiPriority w:val="99"/>
    <w:pPr>
      <w:tabs>
        <w:tab w:val="center" w:pos="4680"/>
        <w:tab w:val="right" w:pos="9360"/>
      </w:tabs>
      <w:snapToGrid w:val="0"/>
    </w:pPr>
    <w:rPr>
      <w:sz w:val="18"/>
      <w:szCs w:val="18"/>
    </w:rPr>
  </w:style>
  <w:style w:type="paragraph" w:styleId="5">
    <w:name w:val="header"/>
    <w:basedOn w:val="1"/>
    <w:link w:val="12"/>
    <w:unhideWhenUsed/>
    <w:qFormat/>
    <w:uiPriority w:val="99"/>
    <w:pPr>
      <w:tabs>
        <w:tab w:val="center" w:pos="4680"/>
        <w:tab w:val="right" w:pos="9360"/>
      </w:tabs>
      <w:snapToGrid w:val="0"/>
      <w:jc w:val="center"/>
    </w:pPr>
    <w:rPr>
      <w:sz w:val="18"/>
      <w:szCs w:val="18"/>
    </w:rPr>
  </w:style>
  <w:style w:type="paragraph" w:styleId="6">
    <w:name w:val="HTML Preformatted"/>
    <w:basedOn w:val="1"/>
    <w:link w:val="15"/>
    <w:uiPriority w:val="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cs="Times New Roman"/>
      <w:lang w:val="en-US"/>
    </w:rPr>
  </w:style>
  <w:style w:type="table" w:styleId="8">
    <w:name w:val="Table Grid"/>
    <w:basedOn w:val="7"/>
    <w:uiPriority w:val="0"/>
    <w:pPr>
      <w:widowControl w:val="0"/>
      <w:jc w:val="both"/>
    </w:pPr>
    <w:rPr>
      <w:rFonts w:ascii="Times New Roman" w:hAnsi="Times New Roman" w:eastAsia="宋体"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semiHidden/>
    <w:unhideWhenUsed/>
    <w:uiPriority w:val="99"/>
  </w:style>
  <w:style w:type="character" w:customStyle="1" w:styleId="11">
    <w:name w:val="Footer Char"/>
    <w:basedOn w:val="9"/>
    <w:link w:val="4"/>
    <w:uiPriority w:val="99"/>
    <w:rPr>
      <w:sz w:val="18"/>
      <w:szCs w:val="18"/>
    </w:rPr>
  </w:style>
  <w:style w:type="character" w:customStyle="1" w:styleId="12">
    <w:name w:val="Header Char"/>
    <w:basedOn w:val="9"/>
    <w:link w:val="5"/>
    <w:uiPriority w:val="99"/>
    <w:rPr>
      <w:sz w:val="18"/>
      <w:szCs w:val="18"/>
    </w:rPr>
  </w:style>
  <w:style w:type="character" w:customStyle="1" w:styleId="13">
    <w:name w:val="Heading 1 Char"/>
    <w:basedOn w:val="9"/>
    <w:link w:val="2"/>
    <w:uiPriority w:val="9"/>
    <w:rPr>
      <w:rFonts w:ascii="宋体" w:hAnsi="宋体" w:cs="宋体"/>
      <w:b/>
      <w:bCs/>
      <w:kern w:val="36"/>
      <w:sz w:val="48"/>
      <w:szCs w:val="48"/>
      <w:lang w:val="en-US"/>
    </w:rPr>
  </w:style>
  <w:style w:type="paragraph" w:styleId="14">
    <w:name w:val="List Paragraph"/>
    <w:basedOn w:val="1"/>
    <w:unhideWhenUsed/>
    <w:qFormat/>
    <w:uiPriority w:val="99"/>
    <w:pPr>
      <w:widowControl w:val="0"/>
      <w:ind w:firstLine="420" w:firstLineChars="200"/>
      <w:jc w:val="both"/>
    </w:pPr>
    <w:rPr>
      <w:kern w:val="2"/>
      <w:sz w:val="21"/>
      <w:lang w:val="en-US"/>
    </w:rPr>
  </w:style>
  <w:style w:type="character" w:customStyle="1" w:styleId="15">
    <w:name w:val="HTML Preformatted Char"/>
    <w:basedOn w:val="9"/>
    <w:link w:val="6"/>
    <w:uiPriority w:val="0"/>
    <w:rPr>
      <w:rFonts w:ascii="宋体" w:hAnsi="宋体" w:eastAsia="宋体" w:cs="Times New Roman"/>
      <w:lang w:val="en-US"/>
    </w:rPr>
  </w:style>
  <w:style w:type="character" w:customStyle="1" w:styleId="16">
    <w:name w:val="Heading 4 Char"/>
    <w:basedOn w:val="9"/>
    <w:link w:val="3"/>
    <w:semiHidden/>
    <w:uiPriority w:val="9"/>
    <w:rPr>
      <w:rFonts w:asciiTheme="majorHAnsi" w:hAnsiTheme="majorHAnsi" w:eastAsiaTheme="majorEastAsia" w:cstheme="majorBidi"/>
      <w:b/>
      <w:bCs/>
      <w:sz w:val="28"/>
      <w:szCs w:val="28"/>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weichengzhou\Library\Group%20Containers\UBF8T346G9.Office\User%20Content.localized\Templates.localized\&#20869;&#31614;&#25991;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内签文1.dotx</Template>
  <Pages>44</Pages>
  <Words>2304</Words>
  <Characters>13134</Characters>
  <Lines>109</Lines>
  <Paragraphs>30</Paragraphs>
  <TotalTime>32</TotalTime>
  <ScaleCrop>false</ScaleCrop>
  <LinksUpToDate>false</LinksUpToDate>
  <CharactersWithSpaces>15408</CharactersWithSpaces>
  <Application>WPS Office_11.1.0.11215_F1E327BC-269C-435d-A152-05C5408002CA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2024-06-28T05:20:00Z</dcterms:created>
  <dc:creator>Weicheng Zhou</dc:creator>
  <cp:lastModifiedBy>刘祥彬</cp:lastModifiedBy>
  <cp:lastPrinted>2024-07-02T03:04:00Z</cp:lastPrinted>
  <dcterms:modified xsi:type="dcterms:W3CDTF">2024-07-03T07:06:39Z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2052-11.1.0.11215</vt:lpwstr>
  </property>
  <property fmtid="{D5CDD505-2E9C-101B-9397-08002B2CF9AE}" pid="3" name="ICV">
    <vt:lpwstr>DB6506C37E3046CA811B87A6F8F3D710</vt:lpwstr>
  </property>
</Properties>
</file>